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in</w:t>
      </w:r>
      <w:r>
        <w:t xml:space="preserve"> </w:t>
      </w:r>
      <w:r>
        <w:t xml:space="preserve">Germany</w:t>
      </w:r>
      <w:r>
        <w:t xml:space="preserve"> </w:t>
      </w:r>
      <w:r>
        <w:t xml:space="preserve">Munich</w:t>
      </w:r>
    </w:p>
    <w:bookmarkStart w:id="28" w:name="X62f09868792fe146d0c4871c58a0e8a37446cce"/>
    <w:p>
      <w:pPr>
        <w:pStyle w:val="Heading1"/>
      </w:pPr>
      <w:r>
        <w:t xml:space="preserve">Sales Report: Comprehensive Analysis of Optometry Services at Munich Eye Care Center, Germany Munich</w:t>
      </w:r>
    </w:p>
    <w:bookmarkStart w:id="20" w:name="introduction"/>
    <w:p>
      <w:pPr>
        <w:pStyle w:val="Heading2"/>
      </w:pPr>
      <w:r>
        <w:t xml:space="preserve">Introduction</w:t>
      </w:r>
    </w:p>
    <w:p>
      <w:pPr>
        <w:pStyle w:val="FirstParagraph"/>
      </w:pPr>
      <w:r>
        <w:t xml:space="preserve">This Sales Report presents a detailed analysis of optometric services performance across our flagship practice in Germany Munich. Operating since 2015 within the vibrant urban landscape of Munich, our clinic has established itself as a premier destination for comprehensive eye care. As the only optometry practice in the city center certified by both German Ophthalmological Society (DEG) and European Council of Optometry (ECO), we serve over 12,000 patients annually. This document outlines critical sales metrics, market positioning, and strategic recommendations to enhance our leadership position in Germany Munich's competitive optometry sector.</w:t>
      </w:r>
    </w:p>
    <w:bookmarkEnd w:id="20"/>
    <w:bookmarkStart w:id="21" w:name="X56052dae4ce299a1cb937ea6a0fc2d308b2c116"/>
    <w:p>
      <w:pPr>
        <w:pStyle w:val="Heading2"/>
      </w:pPr>
      <w:r>
        <w:t xml:space="preserve">Market Context: Optometry Landscape in Germany Munich</w:t>
      </w:r>
    </w:p>
    <w:p>
      <w:pPr>
        <w:pStyle w:val="FirstParagraph"/>
      </w:pPr>
      <w:r>
        <w:t xml:space="preserve">Munich's optometric market presents unique characteristics distinct from other German cities. With a population of 1.5 million and a high concentration of elderly residents (over 30% aged 60+), demand for age-related eye care services has surged by 24% since 2020. The Bavarian healthcare system prioritizes preventive optometry, creating an ideal environment for specialized practices like ours. Notably, our market share in Munich increased from 18% to 27% within the last fiscal year due to strategic partnerships with Munich's leading hospitals (University Hospital München and Klinikum Grosshadern).</w:t>
      </w:r>
    </w:p>
    <w:bookmarkEnd w:id="21"/>
    <w:bookmarkStart w:id="22" w:name="q3-q4-sales-performance-overview"/>
    <w:p>
      <w:pPr>
        <w:pStyle w:val="Heading2"/>
      </w:pPr>
      <w:r>
        <w:t xml:space="preserve">Q3-Q4 Sales Performance Overview</w:t>
      </w:r>
    </w:p>
    <w:p>
      <w:pPr>
        <w:pStyle w:val="FirstParagraph"/>
      </w:pPr>
      <w:r>
        <w:t xml:space="preserve">The most recent sales period (July-December 2023) demonstrated exceptional growth across all service lines. Total revenue reached €1.87 million, a 31% year-over-year increase driven by three key segments:</w:t>
      </w:r>
    </w:p>
    <w:p>
      <w:pPr>
        <w:pStyle w:val="BodyText"/>
      </w:pPr>
      <w:r>
        <w:t xml:space="preserve">Service Category</w:t>
      </w:r>
    </w:p>
    <w:p>
      <w:pPr>
        <w:pStyle w:val="BodyText"/>
      </w:pPr>
      <w:r>
        <w:t xml:space="preserve">Revenue (€)</w:t>
      </w:r>
    </w:p>
    <w:p>
      <w:pPr>
        <w:pStyle w:val="BodyText"/>
      </w:pPr>
      <w:r>
        <w:t xml:space="preserve">YoY Growth</w:t>
      </w:r>
    </w:p>
    <w:p>
      <w:pPr>
        <w:pStyle w:val="BodyText"/>
      </w:pPr>
      <w:r>
        <w:t xml:space="preserve">Market Share in Munich</w:t>
      </w:r>
    </w:p>
    <w:p>
      <w:pPr>
        <w:pStyle w:val="BodyText"/>
      </w:pPr>
      <w:r>
        <w:t xml:space="preserve">Digital Eye Exams &amp; Diagnostics</w:t>
      </w:r>
    </w:p>
    <w:p>
      <w:pPr>
        <w:pStyle w:val="BodyText"/>
      </w:pPr>
      <w:r>
        <w:t xml:space="preserve">624,000</w:t>
      </w:r>
    </w:p>
    <w:p>
      <w:pPr>
        <w:pStyle w:val="BodyText"/>
      </w:pPr>
      <w:r>
        <w:t xml:space="preserve">+38%</w:t>
      </w:r>
    </w:p>
    <w:p>
      <w:pPr>
        <w:pStyle w:val="BodyText"/>
      </w:pPr>
      <w:r>
        <w:t xml:space="preserve">41%</w:t>
      </w:r>
    </w:p>
    <w:p>
      <w:pPr>
        <w:pStyle w:val="BodyText"/>
      </w:pPr>
      <w:r>
        <w:t xml:space="preserve">Specialized Contact Lenses</w:t>
      </w:r>
    </w:p>
    <w:p>
      <w:pPr>
        <w:pStyle w:val="BodyText"/>
      </w:pPr>
      <w:r>
        <w:t xml:space="preserve">&lt;</w:t>
      </w:r>
    </w:p>
    <w:p>
      <w:pPr>
        <w:pStyle w:val="BodyText"/>
      </w:pPr>
      <w:r>
        <w:t xml:space="preserve">492,000</w:t>
      </w:r>
    </w:p>
    <w:p>
      <w:pPr>
        <w:pStyle w:val="BodyText"/>
      </w:pPr>
      <w:r>
        <w:t xml:space="preserve">High-Value Services (Vision Therapy, Post-Surgical Care)</w:t>
      </w:r>
    </w:p>
    <w:p>
      <w:pPr>
        <w:pStyle w:val="BodyText"/>
      </w:pPr>
      <w:r>
        <w:t xml:space="preserve">Specialized Contact Lenses</w:t>
      </w:r>
    </w:p>
    <w:p>
      <w:pPr>
        <w:pStyle w:val="BodyText"/>
      </w:pPr>
      <w:r>
        <w:t xml:space="preserve">492,000</w:t>
      </w:r>
    </w:p>
    <w:p>
      <w:pPr>
        <w:pStyle w:val="BodyText"/>
      </w:pPr>
      <w:r>
        <w:t xml:space="preserve">+29%</w:t>
      </w:r>
    </w:p>
    <w:p>
      <w:pPr>
        <w:pStyle w:val="BodyText"/>
      </w:pPr>
      <w:r>
        <w:t xml:space="preserve">35%</w:t>
      </w:r>
    </w:p>
    <w:p>
      <w:pPr>
        <w:pStyle w:val="BodyText"/>
      </w:pPr>
      <w:r>
        <w:t xml:space="preserve">Vision Therapy Programs</w:t>
      </w:r>
    </w:p>
    <w:p>
      <w:pPr>
        <w:pStyle w:val="BodyText"/>
      </w:pPr>
      <w:r>
        <w:t xml:space="preserve">&lt;</w:t>
      </w:r>
    </w:p>
    <w:p>
      <w:pPr>
        <w:pStyle w:val="BodyText"/>
      </w:pPr>
      <w:r>
        <w:t xml:space="preserve">318,000</w:t>
      </w:r>
    </w:p>
    <w:p>
      <w:pPr>
        <w:pStyle w:val="BodyText"/>
      </w:pPr>
      <w:r>
        <w:t xml:space="preserve">Premium Eyewear Collections</w:t>
      </w:r>
    </w:p>
    <w:p>
      <w:pPr>
        <w:pStyle w:val="BodyText"/>
      </w:pPr>
      <w:r>
        <w:t xml:space="preserve">Premium Eyewear (Luxury Brands)</w:t>
      </w:r>
    </w:p>
    <w:p>
      <w:pPr>
        <w:pStyle w:val="BodyText"/>
      </w:pPr>
      <w:r>
        <w:t xml:space="preserve">245,000</w:t>
      </w:r>
    </w:p>
    <w:p>
      <w:pPr>
        <w:pStyle w:val="BodyText"/>
      </w:pPr>
      <w:r>
        <w:t xml:space="preserve">+42%</w:t>
      </w:r>
    </w:p>
    <w:p>
      <w:pPr>
        <w:pStyle w:val="BodyText"/>
      </w:pPr>
      <w:r>
        <w:t xml:space="preserve">28%</w:t>
      </w:r>
    </w:p>
    <w:bookmarkEnd w:id="22"/>
    <w:bookmarkStart w:id="23" w:name="critical-sales-drivers-in-germany-munich"/>
    <w:p>
      <w:pPr>
        <w:pStyle w:val="Heading2"/>
      </w:pPr>
      <w:r>
        <w:t xml:space="preserve">Critical Sales Drivers in Germany Munich</w:t>
      </w:r>
    </w:p>
    <w:p>
      <w:pPr>
        <w:pStyle w:val="FirstParagraph"/>
      </w:pPr>
      <w:r>
        <w:t xml:space="preserve">Three strategic initiatives fueled our sales momentum in Munich:</w:t>
      </w:r>
    </w:p>
    <w:p>
      <w:pPr>
        <w:numPr>
          <w:ilvl w:val="0"/>
          <w:numId w:val="1001"/>
        </w:numPr>
        <w:pStyle w:val="Compact"/>
      </w:pPr>
      <w:r>
        <w:rPr>
          <w:bCs/>
          <w:b/>
        </w:rPr>
        <w:t xml:space="preserve">German-Regulatory Compliance Integration</w:t>
      </w:r>
      <w:r>
        <w:t xml:space="preserve">: Our optometrist team completed mandatory Bavarian healthcare certification updates, enabling us to bill directly through Munich's public health insurance system (GKV). This eliminated 27% of patient cost barriers, increasing appointment conversion rates by 35%.</w:t>
      </w:r>
    </w:p>
    <w:p>
      <w:pPr>
        <w:numPr>
          <w:ilvl w:val="0"/>
          <w:numId w:val="1001"/>
        </w:numPr>
        <w:pStyle w:val="Compact"/>
      </w:pPr>
      <w:r>
        <w:rPr>
          <w:bCs/>
          <w:b/>
        </w:rPr>
        <w:t xml:space="preserve">Hyper-Localized Patient Experience</w:t>
      </w:r>
      <w:r>
        <w:t xml:space="preserve">: We developed Munich-specific service bundles including "Munich City Stroll Vision Checks" for tourists and "Bavarian Brewery Worker Eye Care" programs for local businesses. These targeted offerings captured 18% of our new patient base.</w:t>
      </w:r>
    </w:p>
    <w:p>
      <w:pPr>
        <w:numPr>
          <w:ilvl w:val="0"/>
          <w:numId w:val="1001"/>
        </w:numPr>
        <w:pStyle w:val="Compact"/>
      </w:pPr>
      <w:r>
        <w:rPr>
          <w:bCs/>
          <w:b/>
        </w:rPr>
        <w:t xml:space="preserve">Technology Adoption</w:t>
      </w:r>
      <w:r>
        <w:t xml:space="preserve">: Implementation of AI-powered retinal scanners (CE-certified) reduced exam times by 40%, allowing us to serve 23% more patients weekly without additional staffing in Germany Munich's high-rent district.</w:t>
      </w:r>
    </w:p>
    <w:bookmarkEnd w:id="23"/>
    <w:bookmarkStart w:id="24" w:name="customer-satisfaction-retention-metrics"/>
    <w:p>
      <w:pPr>
        <w:pStyle w:val="Heading2"/>
      </w:pPr>
      <w:r>
        <w:t xml:space="preserve">Customer Satisfaction &amp; Retention Metrics</w:t>
      </w:r>
    </w:p>
    <w:p>
      <w:pPr>
        <w:pStyle w:val="FirstParagraph"/>
      </w:pPr>
      <w:r>
        <w:t xml:space="preserve">Our optometrist practice maintains a Net Promoter Score (NPS) of 84 in Munich – significantly above the German industry average of 57. Key retention drivers include:</w:t>
      </w:r>
    </w:p>
    <w:p>
      <w:pPr>
        <w:numPr>
          <w:ilvl w:val="0"/>
          <w:numId w:val="1002"/>
        </w:numPr>
        <w:pStyle w:val="Compact"/>
      </w:pPr>
      <w:r>
        <w:t xml:space="preserve">Personalized follow-up care through Munich-specific digital portals</w:t>
      </w:r>
    </w:p>
    <w:p>
      <w:pPr>
        <w:numPr>
          <w:ilvl w:val="0"/>
          <w:numId w:val="1002"/>
        </w:numPr>
        <w:pStyle w:val="Compact"/>
      </w:pPr>
      <w:r>
        <w:t xml:space="preserve">Same-day appointment availability for urgent cases (achieved through our Munich-based service hub)</w:t>
      </w:r>
    </w:p>
    <w:p>
      <w:pPr>
        <w:numPr>
          <w:ilvl w:val="0"/>
          <w:numId w:val="1002"/>
        </w:numPr>
        <w:pStyle w:val="Compact"/>
      </w:pPr>
      <w:r>
        <w:t xml:space="preserve">Free annual "Munich Vision Health" workshops at local community centers</w:t>
      </w:r>
    </w:p>
    <w:p>
      <w:pPr>
        <w:pStyle w:val="FirstParagraph"/>
      </w:pPr>
      <w:r>
        <w:t xml:space="preserve">Clinic feedback from Germany Munich patients revealed that 76% chose us specifically due to our German-language optometry expertise, while 42% cited our proximity to key Munich landmarks (including Marienplatz and the English Garden) as decisive factors.</w:t>
      </w:r>
    </w:p>
    <w:bookmarkEnd w:id="24"/>
    <w:bookmarkStart w:id="25" w:name="Xe73c206391e52ccfad9cc53b17f1f7d745ad978"/>
    <w:p>
      <w:pPr>
        <w:pStyle w:val="Heading2"/>
      </w:pPr>
      <w:r>
        <w:t xml:space="preserve">Challenges in the Munich Optometry Market</w:t>
      </w:r>
    </w:p>
    <w:p>
      <w:pPr>
        <w:pStyle w:val="FirstParagraph"/>
      </w:pPr>
      <w:r>
        <w:t xml:space="preserve">Despite strong performance, three market-specific challenges require strategic attention:</w:t>
      </w:r>
    </w:p>
    <w:p>
      <w:pPr>
        <w:numPr>
          <w:ilvl w:val="0"/>
          <w:numId w:val="1003"/>
        </w:numPr>
        <w:pStyle w:val="Compact"/>
      </w:pPr>
      <w:r>
        <w:rPr>
          <w:bCs/>
          <w:b/>
        </w:rPr>
        <w:t xml:space="preserve">Regulatory Complexity</w:t>
      </w:r>
      <w:r>
        <w:t xml:space="preserve">: Bavarian optometry licensing requires quarterly compliance updates unique to Germany Munich. This demands 15% more administrative time than other German regions.</w:t>
      </w:r>
    </w:p>
    <w:p>
      <w:pPr>
        <w:numPr>
          <w:ilvl w:val="0"/>
          <w:numId w:val="1003"/>
        </w:numPr>
        <w:pStyle w:val="Compact"/>
      </w:pPr>
      <w:r>
        <w:rPr>
          <w:bCs/>
          <w:b/>
        </w:rPr>
        <w:t xml:space="preserve">Competitive Pressure from Chain Practices</w:t>
      </w:r>
      <w:r>
        <w:t xml:space="preserve">: National chains (e.g., "EyeCare Plus") have expanded into Munich, offering lower-priced basic exams. Our premium positioning has maintained market share but requires continuous value communication.</w:t>
      </w:r>
    </w:p>
    <w:p>
      <w:pPr>
        <w:numPr>
          <w:ilvl w:val="0"/>
          <w:numId w:val="1003"/>
        </w:numPr>
        <w:pStyle w:val="Compact"/>
      </w:pPr>
      <w:r>
        <w:rPr>
          <w:bCs/>
          <w:b/>
        </w:rPr>
        <w:t xml:space="preserve">Seasonal Demand Fluctuations</w:t>
      </w:r>
      <w:r>
        <w:t xml:space="preserve">: Munich's tourism season (April-October) creates 40% higher patient volume, straining staff resources during peak months.</w:t>
      </w:r>
    </w:p>
    <w:bookmarkEnd w:id="25"/>
    <w:bookmarkStart w:id="26" w:name="Xe3a361674988dc2221bddab4e4cc2913cf7e2bf"/>
    <w:p>
      <w:pPr>
        <w:pStyle w:val="Heading2"/>
      </w:pPr>
      <w:r>
        <w:t xml:space="preserve">Strategic Recommendations for Germany Munich Growth</w:t>
      </w:r>
    </w:p>
    <w:p>
      <w:pPr>
        <w:pStyle w:val="FirstParagraph"/>
      </w:pPr>
      <w:r>
        <w:t xml:space="preserve">To sustain and accelerate our position as Munich's leading optometrist practice, we propose three targeted initiatives:</w:t>
      </w:r>
    </w:p>
    <w:p>
      <w:pPr>
        <w:numPr>
          <w:ilvl w:val="0"/>
          <w:numId w:val="1004"/>
        </w:numPr>
        <w:pStyle w:val="Compact"/>
      </w:pPr>
      <w:r>
        <w:rPr>
          <w:bCs/>
          <w:b/>
        </w:rPr>
        <w:t xml:space="preserve">Expand Munich-Specific Health Partnerships</w:t>
      </w:r>
      <w:r>
        <w:t xml:space="preserve">: Develop formal referral agreements with 12 additional Munich-based clinics (including neurology practices at Charité Munich) to capture patients requiring comprehensive eye-neurological assessments.</w:t>
      </w:r>
    </w:p>
    <w:p>
      <w:pPr>
        <w:numPr>
          <w:ilvl w:val="0"/>
          <w:numId w:val="1004"/>
        </w:numPr>
        <w:pStyle w:val="Compact"/>
      </w:pPr>
      <w:r>
        <w:rPr>
          <w:bCs/>
          <w:b/>
        </w:rPr>
        <w:t xml:space="preserve">Launch "Munich Vision Ambassador" Program</w:t>
      </w:r>
      <w:r>
        <w:t xml:space="preserve">: Train local residents as community health advocates who provide basic vision screenings during neighborhood events, creating organic lead generation within Munich districts.</w:t>
      </w:r>
    </w:p>
    <w:p>
      <w:pPr>
        <w:numPr>
          <w:ilvl w:val="0"/>
          <w:numId w:val="1004"/>
        </w:numPr>
        <w:pStyle w:val="Compact"/>
      </w:pPr>
      <w:r>
        <w:rPr>
          <w:bCs/>
          <w:b/>
        </w:rPr>
        <w:t xml:space="preserve">Implement Dynamic Pricing for German Market</w:t>
      </w:r>
      <w:r>
        <w:t xml:space="preserve">: Introduce tiered pricing based on Munich's economic zones (e.g., 15% discounts for patients in low-income neighborhoods near Giselastraße), maintaining profitability while broadening accessibility.</w:t>
      </w:r>
    </w:p>
    <w:bookmarkEnd w:id="26"/>
    <w:bookmarkStart w:id="27" w:name="X2a5e833b6f404bd326863381c64efea08ff6f57"/>
    <w:p>
      <w:pPr>
        <w:pStyle w:val="Heading2"/>
      </w:pPr>
      <w:r>
        <w:t xml:space="preserve">Conclusion: Future Outlook in Germany Munich</w:t>
      </w:r>
    </w:p>
    <w:p>
      <w:pPr>
        <w:pStyle w:val="FirstParagraph"/>
      </w:pPr>
      <w:r>
        <w:t xml:space="preserve">This Sales Report confirms that our Munich-based optometry practice has established a sustainable leadership position through deep market understanding and German healthcare system integration. The 31% revenue growth demonstrates clear alignment with Munich's unique demographic and regulatory landscape. Moving forward, we will double down on hyper-localized services while maintaining rigorous compliance with all Germany Munich-specific healthcare regulations.</w:t>
      </w:r>
    </w:p>
    <w:p>
      <w:pPr>
        <w:pStyle w:val="BodyText"/>
      </w:pPr>
      <w:r>
        <w:t xml:space="preserve">As the only optometrist practice in Munich offering real-time integration with Bavaria's digital health records system (eGK), we are positioned to capture 40%+ of the city's premium eye care market by 2026. Our continued success hinges on maintaining this specialized Germany Munich focus – where understanding local culture, regulatory requirements, and patient expectations isn't just advantageous, it's essential for sustainable growth in our target market.</w:t>
      </w:r>
    </w:p>
    <w:p>
      <w:pPr>
        <w:pStyle w:val="BodyText"/>
      </w:pPr>
      <w:r>
        <w:rPr>
          <w:bCs/>
          <w:b/>
        </w:rPr>
        <w:t xml:space="preserve">Prepared For: Munich Eye Care Center Executive Leadership</w:t>
      </w:r>
      <w:r>
        <w:br/>
      </w:r>
      <w:r>
        <w:rPr>
          <w:bCs/>
          <w:b/>
        </w:rPr>
        <w:t xml:space="preserve">Date:</w:t>
      </w:r>
      <w:r>
        <w:t xml:space="preserve"> </w:t>
      </w:r>
      <w:r>
        <w:t xml:space="preserve">October 26, 2023</w:t>
      </w:r>
      <w:r>
        <w:br/>
      </w:r>
      <w:r>
        <w:rPr>
          <w:bCs/>
          <w:b/>
        </w:rPr>
        <w:t xml:space="preserve">Report Period:</w:t>
      </w:r>
      <w:r>
        <w:t xml:space="preserve"> </w:t>
      </w:r>
      <w:r>
        <w:t xml:space="preserve">July 1, 2023 - December 31, 2023</w:t>
      </w:r>
    </w:p>
    <w:p>
      <w:pPr>
        <w:pStyle w:val="BodyText"/>
      </w:pPr>
      <w:r>
        <w:rPr>
          <w:iCs/>
          <w:i/>
        </w:rPr>
        <w:t xml:space="preserve">This Sales Report is exclusively for internal strategic planning at our Germany Munich facility. All data sources comply with GDPR and German healthcare reporting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Services in Germany Munich</dc:title>
  <dc:creator/>
  <dc:language>en</dc:language>
  <cp:keywords/>
  <dcterms:created xsi:type="dcterms:W3CDTF">2026-07-21T04:31:31Z</dcterms:created>
  <dcterms:modified xsi:type="dcterms:W3CDTF">2026-07-21T04:31:31Z</dcterms:modified>
</cp:coreProperties>
</file>

<file path=docProps/custom.xml><?xml version="1.0" encoding="utf-8"?>
<Properties xmlns="http://schemas.openxmlformats.org/officeDocument/2006/custom-properties" xmlns:vt="http://schemas.openxmlformats.org/officeDocument/2006/docPropsVTypes"/>
</file>