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Performance</w:t>
      </w:r>
      <w:r>
        <w:t xml:space="preserve"> </w:t>
      </w:r>
      <w:r>
        <w:t xml:space="preserve">Report:</w:t>
      </w:r>
      <w:r>
        <w:t xml:space="preserve"> </w:t>
      </w:r>
      <w:r>
        <w:t xml:space="preserve">India</w:t>
      </w:r>
      <w:r>
        <w:t xml:space="preserve"> </w:t>
      </w:r>
      <w:r>
        <w:t xml:space="preserve">Mumbai</w:t>
      </w:r>
    </w:p>
    <w:bookmarkStart w:id="28" w:name="X10d0cc751ea26d36d7daac3a9b9463cb8d7439d"/>
    <w:p>
      <w:pPr>
        <w:pStyle w:val="Heading1"/>
      </w:pPr>
      <w:r>
        <w:t xml:space="preserve">Sales Performance Report: Optometrist Services in India Mumbai</w:t>
      </w:r>
    </w:p>
    <w:p>
      <w:pPr>
        <w:pStyle w:val="FirstParagraph"/>
      </w:pPr>
      <w:r>
        <w:rPr>
          <w:bCs/>
          <w:b/>
        </w:rPr>
        <w:t xml:space="preserve">Prepared For:</w:t>
      </w:r>
      <w:r>
        <w:t xml:space="preserve"> </w:t>
      </w:r>
      <w:r>
        <w:t xml:space="preserve">VisionCare Group Leadership</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r>
        <w:br/>
      </w:r>
      <w:r>
        <w:rPr>
          <w:bCs/>
          <w:b/>
        </w:rPr>
        <w:t xml:space="preserve">Location Focus:</w:t>
      </w:r>
      <w:r>
        <w:t xml:space="preserve"> </w:t>
      </w:r>
      <w:r>
        <w:t xml:space="preserve">Mumbai, Maharashtra, India</w:t>
      </w:r>
    </w:p>
    <w:bookmarkStart w:id="20" w:name="i.-executive-summary"/>
    <w:p>
      <w:pPr>
        <w:pStyle w:val="Heading2"/>
      </w:pPr>
      <w:r>
        <w:t xml:space="preserve">I. Executive Summary</w:t>
      </w:r>
    </w:p>
    <w:p>
      <w:pPr>
        <w:pStyle w:val="FirstParagraph"/>
      </w:pPr>
      <w:r>
        <w:t xml:space="preserve">This comprehensive Sales Report details the performance of optometrist services across VisionCare's network of clinics in Mumbai, India. The reporting period reflects a 14.7% year-over-year increase in patient consultations at our Mumbai facilities, demonstrating strong demand for professional eye care services within this critical urban market. As an essential healthcare provider operating under stringent</w:t>
      </w:r>
      <w:r>
        <w:t xml:space="preserve"> </w:t>
      </w:r>
      <w:r>
        <w:rPr>
          <w:bCs/>
          <w:b/>
        </w:rPr>
        <w:t xml:space="preserve">India</w:t>
      </w:r>
      <w:r>
        <w:t xml:space="preserve"> </w:t>
      </w:r>
      <w:r>
        <w:t xml:space="preserve">medical regulations, our focus remains on clinical excellence and patient outcomes rather than traditional sales targets. This document synthesizes key metrics relevant to</w:t>
      </w:r>
      <w:r>
        <w:t xml:space="preserve"> </w:t>
      </w:r>
      <w:r>
        <w:rPr>
          <w:bCs/>
          <w:b/>
        </w:rPr>
        <w:t xml:space="preserve">Optometrist</w:t>
      </w:r>
      <w:r>
        <w:t xml:space="preserve"> </w:t>
      </w:r>
      <w:r>
        <w:t xml:space="preserve">service delivery, patient acquisition strategies, and market positioning within the unique context of Mumbai's healthcare landscape.</w:t>
      </w:r>
    </w:p>
    <w:bookmarkEnd w:id="20"/>
    <w:bookmarkStart w:id="21" w:name="X2f8a83630f5f5a4d2d00628b825d05b841de2d9"/>
    <w:p>
      <w:pPr>
        <w:pStyle w:val="Heading2"/>
      </w:pPr>
      <w:r>
        <w:t xml:space="preserve">II. Mumbai Market Context &amp; Demand Analysis</w:t>
      </w:r>
    </w:p>
    <w:p>
      <w:pPr>
        <w:pStyle w:val="FirstParagraph"/>
      </w:pPr>
      <w:r>
        <w:t xml:space="preserve">Mumbai, India's financial capital and most populous city (population 20.4 million), presents a dynamic yet challenging environment for eye care services. Rapid urbanization, high digital device usage (with 78% of Mumbai residents reporting &gt;4 hours/day screen time), and environmental factors like air pollution contribute significantly to rising demand for</w:t>
      </w:r>
      <w:r>
        <w:t xml:space="preserve"> </w:t>
      </w:r>
      <w:r>
        <w:rPr>
          <w:bCs/>
          <w:b/>
        </w:rPr>
        <w:t xml:space="preserve">Optometrist</w:t>
      </w:r>
      <w:r>
        <w:t xml:space="preserve"> </w:t>
      </w:r>
      <w:r>
        <w:t xml:space="preserve">consultations. Recent data from the National Centre for Disease Control indicates a 22% increase in refractive errors among Mumbai's youth population under 30, directly impacting our service needs.</w:t>
      </w:r>
    </w:p>
    <w:p>
      <w:pPr>
        <w:pStyle w:val="BodyText"/>
      </w:pPr>
      <w:r>
        <w:t xml:space="preserve">Our Mumbai clinics—located in key hubs like Andheri West, South Mumbai, and Thane—serve a diverse patient base spanning corporate professionals, students (including those from prestigious institutions like Tata Institute of Social Sciences), and senior citizens. Unlike conventional retail sales models, our revenue is derived from clinical services (comprehensive eye exams: ₹1500-₹2500), optical dispensing (eyewear: ₹3,500-₹18,000+), and specialized treatments (like dry eye therapy at ₹850 per session). This service-based model is critical for maintaining</w:t>
      </w:r>
      <w:r>
        <w:t xml:space="preserve"> </w:t>
      </w:r>
      <w:r>
        <w:rPr>
          <w:bCs/>
          <w:b/>
        </w:rPr>
        <w:t xml:space="preserve">India</w:t>
      </w:r>
      <w:r>
        <w:t xml:space="preserve"> </w:t>
      </w:r>
      <w:r>
        <w:t xml:space="preserve">medical compliance while achieving sustainable growth.</w:t>
      </w:r>
    </w:p>
    <w:bookmarkEnd w:id="21"/>
    <w:bookmarkStart w:id="24" w:name="X0e0712122edde2aaa7f3eb36c3c148509c2570f"/>
    <w:p>
      <w:pPr>
        <w:pStyle w:val="Heading2"/>
      </w:pPr>
      <w:r>
        <w:t xml:space="preserve">III. Key Performance Indicators (KPIs) - Mumbai Focus</w:t>
      </w:r>
    </w:p>
    <w:bookmarkStart w:id="22" w:name="a.-patient-acquisition-retention"/>
    <w:p>
      <w:pPr>
        <w:pStyle w:val="Heading3"/>
      </w:pPr>
      <w:r>
        <w:t xml:space="preserve">A. Patient Acquisition &amp; Retention</w:t>
      </w:r>
    </w:p>
    <w:p>
      <w:pPr>
        <w:numPr>
          <w:ilvl w:val="0"/>
          <w:numId w:val="1001"/>
        </w:numPr>
        <w:pStyle w:val="Compact"/>
      </w:pPr>
      <w:r>
        <w:rPr>
          <w:bCs/>
          <w:b/>
        </w:rPr>
        <w:t xml:space="preserve">New Patient Growth:</w:t>
      </w:r>
      <w:r>
        <w:t xml:space="preserve"> </w:t>
      </w:r>
      <w:r>
        <w:t xml:space="preserve">+18.4% in Q3 2023 vs Q2, driven by targeted corporate wellness partnerships with companies like Tata Consultancy Services (TCS) and Reliance Industries in Mumbai.</w:t>
      </w:r>
    </w:p>
    <w:p>
      <w:pPr>
        <w:numPr>
          <w:ilvl w:val="0"/>
          <w:numId w:val="1001"/>
        </w:numPr>
        <w:pStyle w:val="Compact"/>
      </w:pPr>
      <w:r>
        <w:rPr>
          <w:bCs/>
          <w:b/>
        </w:rPr>
        <w:t xml:space="preserve">Retained Patients:</w:t>
      </w:r>
      <w:r>
        <w:t xml:space="preserve"> </w:t>
      </w:r>
      <w:r>
        <w:t xml:space="preserve">67% of patients returned for follow-ups or annual exams (exceeding the</w:t>
      </w:r>
      <w:r>
        <w:t xml:space="preserve"> </w:t>
      </w:r>
      <w:r>
        <w:rPr>
          <w:bCs/>
          <w:b/>
        </w:rPr>
        <w:t xml:space="preserve">India</w:t>
      </w:r>
      <w:r>
        <w:t xml:space="preserve"> </w:t>
      </w:r>
      <w:r>
        <w:t xml:space="preserve">national average of 58%). This retention rate directly correlates with our optometrist-led patient education initiatives.</w:t>
      </w:r>
    </w:p>
    <w:p>
      <w:pPr>
        <w:numPr>
          <w:ilvl w:val="0"/>
          <w:numId w:val="1001"/>
        </w:numPr>
        <w:pStyle w:val="Compact"/>
      </w:pPr>
      <w:r>
        <w:rPr>
          <w:bCs/>
          <w:b/>
        </w:rPr>
        <w:t xml:space="preserve">Patient Acquisition Cost (PAC):</w:t>
      </w:r>
      <w:r>
        <w:t xml:space="preserve"> </w:t>
      </w:r>
      <w:r>
        <w:t xml:space="preserve">Reduced by 12% through digital marketing campaigns optimized for Mumbai's urban demographic, focusing on Google Ads and Instagram targeting users in high-traffic zones like Lower Parel and Bandra.</w:t>
      </w:r>
    </w:p>
    <w:bookmarkEnd w:id="22"/>
    <w:bookmarkStart w:id="23" w:name="b.-service-utilization-revenue-streams"/>
    <w:p>
      <w:pPr>
        <w:pStyle w:val="Heading3"/>
      </w:pPr>
      <w:r>
        <w:t xml:space="preserve">B. Service Utilization &amp; Revenue Streams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Type</w:t>
            </w:r>
          </w:p>
        </w:tc>
        <w:tc>
          <w:tcPr/>
          <w:p>
            <w:pPr>
              <w:pStyle w:val="Compact"/>
              <w:jc w:val="left"/>
            </w:pPr>
            <w:r>
              <w:t xml:space="preserve">Q3 2023 Volume (Mumbai)</w:t>
            </w:r>
          </w:p>
        </w:tc>
        <w:tc>
          <w:tcPr/>
          <w:p>
            <w:pPr>
              <w:pStyle w:val="Compact"/>
              <w:jc w:val="left"/>
            </w:pPr>
            <w:r>
              <w:t xml:space="preserve">% Revenue Contribution</w:t>
            </w:r>
          </w:p>
        </w:tc>
      </w:tr>
      <w:tr>
        <w:tc>
          <w:tcPr/>
          <w:p>
            <w:pPr>
              <w:pStyle w:val="Compact"/>
              <w:jc w:val="left"/>
            </w:pPr>
            <w:r>
              <w:t xml:space="preserve">Comprehensive Eye Exams</w:t>
            </w:r>
          </w:p>
        </w:tc>
        <w:tc>
          <w:tcPr/>
          <w:p>
            <w:pPr>
              <w:pStyle w:val="Compact"/>
              <w:jc w:val="left"/>
            </w:pPr>
            <w:r>
              <w:t xml:space="preserve">14,820</w:t>
            </w:r>
          </w:p>
        </w:tc>
        <w:tc>
          <w:tcPr/>
          <w:p>
            <w:pPr>
              <w:pStyle w:val="Compact"/>
              <w:jc w:val="left"/>
            </w:pPr>
            <w:r>
              <w:t xml:space="preserve">48%</w:t>
            </w:r>
          </w:p>
        </w:tc>
      </w:tr>
      <w:tr>
        <w:tc>
          <w:tcPr/>
          <w:p>
            <w:pPr>
              <w:pStyle w:val="Compact"/>
              <w:jc w:val="left"/>
            </w:pPr>
            <w:r>
              <w:t xml:space="preserve">Spectacle Dispensing (Prescription Lenses)</w:t>
            </w:r>
          </w:p>
        </w:tc>
        <w:tc>
          <w:tcPr/>
          <w:p>
            <w:pPr>
              <w:pStyle w:val="Compact"/>
              <w:jc w:val="left"/>
            </w:pPr>
            <w:r>
              <w:t xml:space="preserve">9,350</w:t>
            </w:r>
          </w:p>
        </w:tc>
        <w:tc>
          <w:tcPr/>
          <w:p>
            <w:pPr>
              <w:pStyle w:val="Compact"/>
              <w:jc w:val="left"/>
            </w:pPr>
            <w:r>
              <w:t xml:space="preserve">35%</w:t>
            </w:r>
          </w:p>
        </w:tc>
      </w:tr>
      <w:tr>
        <w:tc>
          <w:tcPr/>
          <w:p>
            <w:pPr>
              <w:pStyle w:val="Compact"/>
              <w:jc w:val="left"/>
            </w:pPr>
            <w:r>
              <w:t xml:space="preserve">Contact Lens Fitting &amp; Consultations</w:t>
            </w:r>
          </w:p>
        </w:tc>
        <w:tc>
          <w:tcPr/>
          <w:p>
            <w:pPr>
              <w:pStyle w:val="Compact"/>
              <w:jc w:val="left"/>
            </w:pPr>
            <w:r>
              <w:t xml:space="preserve">2,175</w:t>
            </w:r>
          </w:p>
        </w:tc>
        <w:tc>
          <w:tcPr/>
          <w:p>
            <w:pPr>
              <w:pStyle w:val="Compact"/>
              <w:jc w:val="left"/>
            </w:pPr>
            <w:r>
              <w:t xml:space="preserve">12%</w:t>
            </w:r>
          </w:p>
        </w:tc>
      </w:tr>
      <w:tr>
        <w:tc>
          <w:tcPr/>
          <w:p>
            <w:pPr>
              <w:pStyle w:val="Compact"/>
              <w:jc w:val="left"/>
            </w:pPr>
            <w:r>
              <w:t xml:space="preserve">Dry Eye Therapy Sessions</w:t>
            </w:r>
          </w:p>
        </w:tc>
        <w:tc>
          <w:tcPr/>
          <w:p>
            <w:pPr>
              <w:pStyle w:val="Compact"/>
              <w:jc w:val="left"/>
            </w:pPr>
            <w:r>
              <w:t xml:space="preserve">840</w:t>
            </w:r>
          </w:p>
        </w:tc>
        <w:tc>
          <w:tcPr/>
          <w:p>
            <w:pPr>
              <w:pStyle w:val="Compact"/>
              <w:jc w:val="left"/>
            </w:pPr>
            <w:r>
              <w:t xml:space="preserve">5%</w:t>
            </w:r>
          </w:p>
        </w:tc>
      </w:tr>
    </w:tbl>
    <w:p>
      <w:pPr>
        <w:pStyle w:val="BodyText"/>
      </w:pPr>
      <w:r>
        <w:t xml:space="preserve">The data confirms that while</w:t>
      </w:r>
      <w:r>
        <w:t xml:space="preserve"> </w:t>
      </w:r>
      <w:r>
        <w:rPr>
          <w:bCs/>
          <w:b/>
        </w:rPr>
        <w:t xml:space="preserve">Optometrist</w:t>
      </w:r>
      <w:r>
        <w:t xml:space="preserve">-led diagnostics (comprehensive exams) remain the primary revenue driver, strategic bundling of optical services has improved overall patient lifetime value by 22% in Mumbai. Notably, our contact lens service volume grew 31% due to targeted campaigns addressing Mumbai's high humidity-related lens discomfort.</w:t>
      </w:r>
    </w:p>
    <w:bookmarkEnd w:id="23"/>
    <w:bookmarkEnd w:id="24"/>
    <w:bookmarkStart w:id="25" w:name="iv.-mumbai-specific-challenges-solutions"/>
    <w:p>
      <w:pPr>
        <w:pStyle w:val="Heading2"/>
      </w:pPr>
      <w:r>
        <w:t xml:space="preserve">IV. Mumbai-Specific Challenges &amp; Solutions</w:t>
      </w:r>
    </w:p>
    <w:p>
      <w:pPr>
        <w:pStyle w:val="FirstParagraph"/>
      </w:pPr>
      <w:r>
        <w:t xml:space="preserve">Mumbai's operational environment presents unique hurdles:</w:t>
      </w:r>
    </w:p>
    <w:p>
      <w:pPr>
        <w:numPr>
          <w:ilvl w:val="0"/>
          <w:numId w:val="1002"/>
        </w:numPr>
        <w:pStyle w:val="Compact"/>
      </w:pPr>
      <w:r>
        <w:rPr>
          <w:bCs/>
          <w:b/>
        </w:rPr>
        <w:t xml:space="preserve">High Competition:</w:t>
      </w:r>
      <w:r>
        <w:t xml:space="preserve"> </w:t>
      </w:r>
      <w:r>
        <w:t xml:space="preserve">Established chains like Apollo Optical and local clinics require differentiated value. Solution: Launched "Mumbai Eye Health Awareness Week" with free screenings at Chhatrapati Shivaji Terminus, attracting 1,200+ new leads.</w:t>
      </w:r>
    </w:p>
    <w:p>
      <w:pPr>
        <w:numPr>
          <w:ilvl w:val="0"/>
          <w:numId w:val="1002"/>
        </w:numPr>
        <w:pStyle w:val="Compact"/>
      </w:pPr>
      <w:r>
        <w:rPr>
          <w:bCs/>
          <w:b/>
        </w:rPr>
        <w:t xml:space="preserve">Insurance Penetration:</w:t>
      </w:r>
      <w:r>
        <w:t xml:space="preserve"> </w:t>
      </w:r>
      <w:r>
        <w:t xml:space="preserve">Only 38% of Mumbai patients have health insurance covering optometry. Solution: Partnered with Bajaj Allianz to create a "Vision Shield" policy for Mumbai corporates (adopted by 42 companies in Q3).</w:t>
      </w:r>
    </w:p>
    <w:p>
      <w:pPr>
        <w:numPr>
          <w:ilvl w:val="0"/>
          <w:numId w:val="1002"/>
        </w:numPr>
        <w:pStyle w:val="Compact"/>
      </w:pPr>
      <w:r>
        <w:rPr>
          <w:bCs/>
          <w:b/>
        </w:rPr>
        <w:t xml:space="preserve">Patient Expectations:</w:t>
      </w:r>
      <w:r>
        <w:t xml:space="preserve"> </w:t>
      </w:r>
      <w:r>
        <w:t xml:space="preserve">Urban patients demand faster service. Solution: Implemented AI-driven appointment scheduling reducing wait times by 40% across all Mumbai locations.</w:t>
      </w:r>
    </w:p>
    <w:bookmarkEnd w:id="25"/>
    <w:bookmarkStart w:id="26" w:name="Xbe59850450d3b6b5ccca159741df62c38d06df8"/>
    <w:p>
      <w:pPr>
        <w:pStyle w:val="Heading2"/>
      </w:pPr>
      <w:r>
        <w:t xml:space="preserve">V. Strategic Recommendations for Mumbai Market Growth</w:t>
      </w:r>
    </w:p>
    <w:p>
      <w:pPr>
        <w:numPr>
          <w:ilvl w:val="0"/>
          <w:numId w:val="1003"/>
        </w:numPr>
        <w:pStyle w:val="Compact"/>
      </w:pPr>
      <w:r>
        <w:rPr>
          <w:bCs/>
          <w:b/>
        </w:rPr>
        <w:t xml:space="preserve">Deepen Corporate Partnerships:</w:t>
      </w:r>
      <w:r>
        <w:t xml:space="preserve"> </w:t>
      </w:r>
      <w:r>
        <w:t xml:space="preserve">Target 15 new corporate clients in Mumbai's IT sector (e.g., Infopark, SEEPZ) through customized eye care packages addressing digital eye strain.</w:t>
      </w:r>
    </w:p>
    <w:p>
      <w:pPr>
        <w:numPr>
          <w:ilvl w:val="0"/>
          <w:numId w:val="1003"/>
        </w:numPr>
        <w:pStyle w:val="Compact"/>
      </w:pPr>
      <w:r>
        <w:rPr>
          <w:bCs/>
          <w:b/>
        </w:rPr>
        <w:t xml:space="preserve">Leverage Government Initiatives:</w:t>
      </w:r>
      <w:r>
        <w:t xml:space="preserve"> </w:t>
      </w:r>
      <w:r>
        <w:t xml:space="preserve">Align with Maharashtra's "Vision 2025" program to offer subsidized screenings in municipal schools across Mumbai suburbs (Thane, Navi Mumbai).</w:t>
      </w:r>
    </w:p>
    <w:p>
      <w:pPr>
        <w:numPr>
          <w:ilvl w:val="0"/>
          <w:numId w:val="1003"/>
        </w:numPr>
        <w:pStyle w:val="Compact"/>
      </w:pPr>
      <w:r>
        <w:rPr>
          <w:bCs/>
          <w:b/>
        </w:rPr>
        <w:t xml:space="preserve">Optometrist-Centric Marketing:</w:t>
      </w:r>
      <w:r>
        <w:t xml:space="preserve"> </w:t>
      </w:r>
      <w:r>
        <w:t xml:space="preserve">Develop YouTube content featuring our Mumbai-based</w:t>
      </w:r>
      <w:r>
        <w:t xml:space="preserve"> </w:t>
      </w:r>
      <w:r>
        <w:rPr>
          <w:bCs/>
          <w:b/>
        </w:rPr>
        <w:t xml:space="preserve">Optometrist</w:t>
      </w:r>
      <w:r>
        <w:t xml:space="preserve">s addressing local concerns (e.g., "Managing Eye Strain During Mumbai Commute").</w:t>
      </w:r>
    </w:p>
    <w:p>
      <w:pPr>
        <w:numPr>
          <w:ilvl w:val="0"/>
          <w:numId w:val="1003"/>
        </w:numPr>
        <w:pStyle w:val="Compact"/>
      </w:pPr>
      <w:r>
        <w:rPr>
          <w:bCs/>
          <w:b/>
        </w:rPr>
        <w:t xml:space="preserve">Metro Expansion:</w:t>
      </w:r>
      <w:r>
        <w:t xml:space="preserve"> </w:t>
      </w:r>
      <w:r>
        <w:t xml:space="preserve">Open a clinic near Dadar metro station to capture high footfall from commuters.</w:t>
      </w:r>
    </w:p>
    <w:bookmarkEnd w:id="26"/>
    <w:bookmarkStart w:id="27" w:name="X217fc79bbec49b9fc1042f8fe1e6dddc502c678"/>
    <w:p>
      <w:pPr>
        <w:pStyle w:val="Heading2"/>
      </w:pPr>
      <w:r>
        <w:t xml:space="preserve">VI. Conclusion: The Path Forward in Mumbai, India</w:t>
      </w:r>
    </w:p>
    <w:p>
      <w:pPr>
        <w:pStyle w:val="FirstParagraph"/>
      </w:pPr>
      <w:r>
        <w:t xml:space="preserve">This Sales Report underscores that successful optometry practice in Mumbai requires balancing clinical integrity with market responsiveness. Our focus on patient education, strategic corporate partnerships, and leveraging Mumbai's digital-savvy population has driven consistent growth without compromising healthcare ethics. As the largest city in</w:t>
      </w:r>
      <w:r>
        <w:t xml:space="preserve"> </w:t>
      </w:r>
      <w:r>
        <w:rPr>
          <w:bCs/>
          <w:b/>
        </w:rPr>
        <w:t xml:space="preserve">India</w:t>
      </w:r>
      <w:r>
        <w:t xml:space="preserve">, Mumbai represents both a significant opportunity and responsibility—our</w:t>
      </w:r>
      <w:r>
        <w:t xml:space="preserve"> </w:t>
      </w:r>
      <w:r>
        <w:rPr>
          <w:bCs/>
          <w:b/>
        </w:rPr>
        <w:t xml:space="preserve">Optometrist</w:t>
      </w:r>
      <w:r>
        <w:t xml:space="preserve"> </w:t>
      </w:r>
      <w:r>
        <w:t xml:space="preserve">teams are uniquely positioned to address the city's escalating eye health challenges through evidence-based service delivery.</w:t>
      </w:r>
    </w:p>
    <w:p>
      <w:pPr>
        <w:pStyle w:val="BodyText"/>
      </w:pPr>
      <w:r>
        <w:t xml:space="preserve">Moving forward, we recommend allocating 35% of Q4 marketing budget toward Mumbai-specific initiatives. The data clearly indicates that clinics with Mumbai-centric strategies (local partnerships, cultural relevance in messaging) achieve 27% higher patient satisfaction scores than generic campaigns. This is not merely a sales report—it's a blueprint for sustainable eye care excellence within India's most demanding urban market.</w:t>
      </w:r>
    </w:p>
    <w:p>
      <w:pPr>
        <w:pStyle w:val="BodyText"/>
      </w:pPr>
      <w:r>
        <w:rPr>
          <w:bCs/>
          <w:b/>
        </w:rPr>
        <w:t xml:space="preserve">Prepared By:</w:t>
      </w:r>
      <w:r>
        <w:t xml:space="preserve"> </w:t>
      </w:r>
      <w:r>
        <w:t xml:space="preserve">VisionCare Mumbai Operations Team</w:t>
      </w:r>
      <w:r>
        <w:br/>
      </w:r>
      <w:r>
        <w:rPr>
          <w:bCs/>
          <w:b/>
        </w:rPr>
        <w:t xml:space="preserve">Compliance Note:</w:t>
      </w:r>
      <w:r>
        <w:t xml:space="preserve"> </w:t>
      </w:r>
      <w:r>
        <w:t xml:space="preserve">All data adheres to Indian Medical Council Regulations (IMCR) and National Health Stack guidelines. Patient privacy maintained per India's Personal Data Protection Bill 2019.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Performance Report: India Mumbai</dc:title>
  <dc:creator/>
  <dc:language>en</dc:language>
  <cp:keywords/>
  <dcterms:created xsi:type="dcterms:W3CDTF">2025-12-13T09:53:17Z</dcterms:created>
  <dcterms:modified xsi:type="dcterms:W3CDTF">2025-12-13T09:53:17Z</dcterms:modified>
</cp:coreProperties>
</file>

<file path=docProps/custom.xml><?xml version="1.0" encoding="utf-8"?>
<Properties xmlns="http://schemas.openxmlformats.org/officeDocument/2006/custom-properties" xmlns:vt="http://schemas.openxmlformats.org/officeDocument/2006/docPropsVTypes"/>
</file>