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Jakarta,</w:t>
      </w:r>
      <w:r>
        <w:t xml:space="preserve"> </w:t>
      </w:r>
      <w:r>
        <w:t xml:space="preserve">Indonesia</w:t>
      </w:r>
    </w:p>
    <w:bookmarkStart w:id="28" w:name="X29dc3d9ed38f7d72e4941ee6beca0887b75828a"/>
    <w:p>
      <w:pPr>
        <w:pStyle w:val="Heading1"/>
      </w:pPr>
      <w:r>
        <w:t xml:space="preserve">Sales Report: Comprehensive Optometry Business Performance Analysis in Indonesia Jakarta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optometry services across Jakarta, Indonesia, covering the fiscal year 2023. As a leading provider of eye care solutions in the Indonesian market, we've maintained consistent growth despite economic fluctuations. The report highlights key achievements in patient acquisition, revenue streams, and market positioning for our Optometrist practice within Jakarta's dynamic healthcare landscape. Our strategic focus on community health initiatives and technological innovation has positioned us as a trusted name among both individual patients and corporate partners in Indonesia Jakarta.</w:t>
      </w:r>
    </w:p>
    <w:bookmarkEnd w:id="20"/>
    <w:bookmarkStart w:id="21" w:name="Xb0216b52a4b501365dc20f885f16cff5203eb5f"/>
    <w:p>
      <w:pPr>
        <w:pStyle w:val="Heading2"/>
      </w:pPr>
      <w:r>
        <w:t xml:space="preserve">Market Context: Optometry Industry in Indonesia Jakarta</w:t>
      </w:r>
    </w:p>
    <w:p>
      <w:pPr>
        <w:pStyle w:val="FirstParagraph"/>
      </w:pPr>
      <w:r>
        <w:t xml:space="preserve">Indonesia Jakarta presents unique opportunities for optometrists due to its dense population of over 10 million residents, rising disposable income, and increasing awareness of eye health. The optometry market in Jakarta has grown by 14% annually (2021-2023), driven by digital eye strain from smartphone usage and aging demographics. Our Sales Report indicates that Jakarta's optometric services now serve approximately 35% of the national patient base, with urban areas showing 68% higher demand for corrective lenses compared to rural regions.</w:t>
      </w:r>
    </w:p>
    <w:p>
      <w:pPr>
        <w:pStyle w:val="BodyText"/>
      </w:pPr>
      <w:r>
        <w:t xml:space="preserve">Crucially, our Optometrist practice has leveraged Jakarta's infrastructure advantages – including proximity to major hospitals and corporate hubs – to establish strategic partnerships. Unlike many competitors, we've implemented mobile eye screening units that service 20+ corporate clients across Jakarta's business districts monthly, directly contributing to 35% of our annual revenue.</w:t>
      </w:r>
    </w:p>
    <w:bookmarkEnd w:id="21"/>
    <w:bookmarkStart w:id="22" w:name="sales-performance-analysis-2023"/>
    <w:p>
      <w:pPr>
        <w:pStyle w:val="Heading2"/>
      </w:pPr>
      <w:r>
        <w:t xml:space="preserve">Sales Performance Analysis (2023)</w:t>
      </w:r>
    </w:p>
    <w:p>
      <w:pPr>
        <w:pStyle w:val="FirstParagraph"/>
      </w:pPr>
      <w:r>
        <w:t xml:space="preserve">Our Sales Report reveals robust financial health with total revenue reaching IDR 14.7 billion (USD $978,000), a 19% increase from 2022. This growth stems from three key segments:</w:t>
      </w:r>
    </w:p>
    <w:p>
      <w:pPr>
        <w:numPr>
          <w:ilvl w:val="0"/>
          <w:numId w:val="1001"/>
        </w:numPr>
        <w:pStyle w:val="Compact"/>
      </w:pPr>
      <w:r>
        <w:rPr>
          <w:bCs/>
          <w:b/>
        </w:rPr>
        <w:t xml:space="preserve">Clinical Examinations:</w:t>
      </w:r>
      <w:r>
        <w:t xml:space="preserve"> </w:t>
      </w:r>
      <w:r>
        <w:t xml:space="preserve">42% of revenue (IDR 6.17 billion) – driven by comprehensive eye exams for children (38% growth) and diabetic retinopathy screenings</w:t>
      </w:r>
    </w:p>
    <w:p>
      <w:pPr>
        <w:numPr>
          <w:ilvl w:val="0"/>
          <w:numId w:val="1001"/>
        </w:numPr>
        <w:pStyle w:val="Compact"/>
      </w:pPr>
      <w:r>
        <w:rPr>
          <w:bCs/>
          <w:b/>
        </w:rPr>
        <w:t xml:space="preserve">Spectacle &amp; Lens Sales:</w:t>
      </w:r>
      <w:r>
        <w:t xml:space="preserve"> </w:t>
      </w:r>
      <w:r>
        <w:t xml:space="preserve">38% of revenue (IDR 5.59 billion) – featuring premium anti-reflective coatings popular in Jakarta's professional community</w:t>
      </w:r>
    </w:p>
    <w:p>
      <w:pPr>
        <w:numPr>
          <w:ilvl w:val="0"/>
          <w:numId w:val="1001"/>
        </w:numPr>
        <w:pStyle w:val="Compact"/>
      </w:pPr>
      <w:r>
        <w:rPr>
          <w:bCs/>
          <w:b/>
        </w:rPr>
        <w:t xml:space="preserve">Corporate Wellness Programs:</w:t>
      </w:r>
      <w:r>
        <w:t xml:space="preserve"> </w:t>
      </w:r>
      <w:r>
        <w:t xml:space="preserve">20% of revenue (IDR 2.94 billion) – exclusive contracts with 32 multinational firms in Jakarta's central business district</w:t>
      </w:r>
    </w:p>
    <w:p>
      <w:pPr>
        <w:pStyle w:val="FirstParagraph"/>
      </w:pPr>
      <w:r>
        <w:t xml:space="preserve">Notably, our Optometrist team achieved a 91% patient retention rate through personalized follow-up systems, significantly higher than the industry average of 76% in Indonesia Jakarta. This is particularly impressive considering Jakarta's competitive healthcare environment with over 450 optometric practices.</w:t>
      </w:r>
    </w:p>
    <w:bookmarkEnd w:id="22"/>
    <w:bookmarkStart w:id="23" w:name="key-growth-drivers-in-jakarta"/>
    <w:p>
      <w:pPr>
        <w:pStyle w:val="Heading2"/>
      </w:pPr>
      <w:r>
        <w:t xml:space="preserve">Key Growth Drivers in Jakarta</w:t>
      </w:r>
    </w:p>
    <w:p>
      <w:pPr>
        <w:pStyle w:val="FirstParagraph"/>
      </w:pPr>
      <w:r>
        <w:t xml:space="preserve">The Sales Report identifies three critical success factors specific to Indonesia Jakarta:</w:t>
      </w:r>
    </w:p>
    <w:p>
      <w:pPr>
        <w:numPr>
          <w:ilvl w:val="0"/>
          <w:numId w:val="1002"/>
        </w:numPr>
        <w:pStyle w:val="Compact"/>
      </w:pPr>
      <w:r>
        <w:rPr>
          <w:bCs/>
          <w:b/>
        </w:rPr>
        <w:t xml:space="preserve">Cultural Adaptation:</w:t>
      </w:r>
      <w:r>
        <w:t xml:space="preserve"> </w:t>
      </w:r>
      <w:r>
        <w:t xml:space="preserve">We developed "Budaya Penglihatan" (Vision Culture) program offering culturally sensitive consultations for Javanese, Sundanese, and Betawi communities. This initiative increased patient acquisition by 27% among older demographics.</w:t>
      </w:r>
    </w:p>
    <w:p>
      <w:pPr>
        <w:numPr>
          <w:ilvl w:val="0"/>
          <w:numId w:val="1002"/>
        </w:numPr>
        <w:pStyle w:val="Compact"/>
      </w:pPr>
      <w:r>
        <w:rPr>
          <w:bCs/>
          <w:b/>
        </w:rPr>
        <w:t xml:space="preserve">Tech Integration:</w:t>
      </w:r>
      <w:r>
        <w:t xml:space="preserve"> </w:t>
      </w:r>
      <w:r>
        <w:t xml:space="preserve">Implementation of AI-powered retinal scanners reduced exam time by 35% while improving accuracy – a feature highly valued in Jakarta's fast-paced business culture.</w:t>
      </w:r>
    </w:p>
    <w:p>
      <w:pPr>
        <w:numPr>
          <w:ilvl w:val="0"/>
          <w:numId w:val="1002"/>
        </w:numPr>
        <w:pStyle w:val="Compact"/>
      </w:pPr>
      <w:r>
        <w:rPr>
          <w:bCs/>
          <w:b/>
        </w:rPr>
        <w:t xml:space="preserve">Partnership Ecosystem:</w:t>
      </w:r>
      <w:r>
        <w:t xml:space="preserve"> </w:t>
      </w:r>
      <w:r>
        <w:t xml:space="preserve">Strategic alliances with Jakarta's Ministry of Health and local universities (e.g., Universitas Indonesia) enabled subsidized pediatric eye care programs reaching 12,000 children annually.</w:t>
      </w:r>
    </w:p>
    <w:bookmarkEnd w:id="23"/>
    <w:bookmarkStart w:id="24" w:name="customer-satisfaction-metrics"/>
    <w:p>
      <w:pPr>
        <w:pStyle w:val="Heading2"/>
      </w:pPr>
      <w:r>
        <w:t xml:space="preserve">Customer Satisfaction Metrics</w:t>
      </w:r>
    </w:p>
    <w:p>
      <w:pPr>
        <w:pStyle w:val="FirstParagraph"/>
      </w:pPr>
      <w:r>
        <w:t xml:space="preserve">Our Optometrist practice maintained a 4.8/5.0 satisfaction rating on Jakarta's major healthcare review platforms (HalalHealth, Alodokter). Key drivers included:</w:t>
      </w:r>
    </w:p>
    <w:p>
      <w:pPr>
        <w:numPr>
          <w:ilvl w:val="0"/>
          <w:numId w:val="1003"/>
        </w:numPr>
        <w:pStyle w:val="Compact"/>
      </w:pPr>
      <w:r>
        <w:rPr>
          <w:bCs/>
          <w:b/>
        </w:rPr>
        <w:t xml:space="preserve">Accessibility:</w:t>
      </w:r>
      <w:r>
        <w:t xml:space="preserve"> </w:t>
      </w:r>
      <w:r>
        <w:t xml:space="preserve">76% of patients cited convenient clinic locations in Central Jakarta and South Jakarta as decisive factors</w:t>
      </w:r>
    </w:p>
    <w:p>
      <w:pPr>
        <w:numPr>
          <w:ilvl w:val="0"/>
          <w:numId w:val="1003"/>
        </w:numPr>
        <w:pStyle w:val="Compact"/>
      </w:pPr>
      <w:r>
        <w:rPr>
          <w:bCs/>
          <w:b/>
        </w:rPr>
        <w:t xml:space="preserve">Language Support:</w:t>
      </w:r>
      <w:r>
        <w:t xml:space="preserve"> </w:t>
      </w:r>
      <w:r>
        <w:t xml:space="preserve">Bilingual (Indonesian/English) optometrists serving international business communities</w:t>
      </w:r>
    </w:p>
    <w:p>
      <w:pPr>
        <w:numPr>
          <w:ilvl w:val="0"/>
          <w:numId w:val="1003"/>
        </w:numPr>
        <w:pStyle w:val="Compact"/>
      </w:pPr>
      <w:r>
        <w:rPr>
          <w:bCs/>
          <w:b/>
        </w:rPr>
        <w:t xml:space="preserve">Affordability Frameworks:</w:t>
      </w:r>
      <w:r>
        <w:t xml:space="preserve"> </w:t>
      </w:r>
      <w:r>
        <w:t xml:space="preserve">Tiered pricing for low-income groups through Jakarta's Jaminan Kesehatan Nasional (JKN) partnership</w:t>
      </w:r>
    </w:p>
    <w:bookmarkEnd w:id="24"/>
    <w:bookmarkStart w:id="25" w:name="challenges-in-indonesia-jakarta-market"/>
    <w:p>
      <w:pPr>
        <w:pStyle w:val="Heading2"/>
      </w:pPr>
      <w:r>
        <w:t xml:space="preserve">Challenges in Indonesia Jakarta Market</w:t>
      </w:r>
    </w:p>
    <w:p>
      <w:pPr>
        <w:pStyle w:val="FirstParagraph"/>
      </w:pPr>
      <w:r>
        <w:t xml:space="preserve">The Sales Report also documents critical challenges requiring strategic response:</w:t>
      </w:r>
    </w:p>
    <w:p>
      <w:pPr>
        <w:numPr>
          <w:ilvl w:val="0"/>
          <w:numId w:val="1004"/>
        </w:numPr>
        <w:pStyle w:val="Compact"/>
      </w:pPr>
      <w:r>
        <w:rPr>
          <w:bCs/>
          <w:b/>
        </w:rPr>
        <w:t xml:space="preserve">Regulatory Hurdles:</w:t>
      </w:r>
      <w:r>
        <w:t xml:space="preserve"> </w:t>
      </w:r>
      <w:r>
        <w:t xml:space="preserve">Complex licensing requirements for optometrists under Indonesia's 2023 Healthcare Law (UU No. 44/2019)</w:t>
      </w:r>
    </w:p>
    <w:p>
      <w:pPr>
        <w:numPr>
          <w:ilvl w:val="0"/>
          <w:numId w:val="1004"/>
        </w:numPr>
        <w:pStyle w:val="Compact"/>
      </w:pPr>
      <w:r>
        <w:rPr>
          <w:bCs/>
          <w:b/>
        </w:rPr>
        <w:t xml:space="preserve">Supply Chain Issues:</w:t>
      </w:r>
      <w:r>
        <w:t xml:space="preserve"> </w:t>
      </w:r>
      <w:r>
        <w:t xml:space="preserve">Import tariffs on premium lens materials increased costs by 18% in Q3 2023</w:t>
      </w:r>
    </w:p>
    <w:bookmarkEnd w:id="25"/>
    <w:bookmarkStart w:id="26" w:name="strategic-recommendations-for-2024"/>
    <w:p>
      <w:pPr>
        <w:pStyle w:val="Heading2"/>
      </w:pPr>
      <w:r>
        <w:t xml:space="preserve">Strategic Recommendations for 2024</w:t>
      </w:r>
    </w:p>
    <w:p>
      <w:pPr>
        <w:pStyle w:val="FirstParagraph"/>
      </w:pPr>
      <w:r>
        <w:t xml:space="preserve">Based on this Sales Report analysis, we propose the following Jakarta-specific initiatives:</w:t>
      </w:r>
    </w:p>
    <w:p>
      <w:pPr>
        <w:numPr>
          <w:ilvl w:val="0"/>
          <w:numId w:val="1005"/>
        </w:numPr>
        <w:pStyle w:val="Compact"/>
      </w:pPr>
      <w:r>
        <w:rPr>
          <w:bCs/>
          <w:b/>
        </w:rPr>
        <w:t xml:space="preserve">Expand Mobile Clinics:</w:t>
      </w:r>
      <w:r>
        <w:t xml:space="preserve"> </w:t>
      </w:r>
      <w:r>
        <w:t xml:space="preserve">Launch 3 additional mobile units targeting peri-urban areas of Jakarta (Bogor, Tangerang) where optometric services are scarce.</w:t>
      </w:r>
    </w:p>
    <w:p>
      <w:pPr>
        <w:numPr>
          <w:ilvl w:val="0"/>
          <w:numId w:val="1005"/>
        </w:numPr>
        <w:pStyle w:val="Compact"/>
      </w:pPr>
      <w:r>
        <w:rPr>
          <w:bCs/>
          <w:b/>
        </w:rPr>
        <w:t xml:space="preserve">Digital Health Portal:</w:t>
      </w:r>
      <w:r>
        <w:t xml:space="preserve"> </w:t>
      </w:r>
      <w:r>
        <w:t xml:space="preserve">Develop a Bahasa Indonesia/English tele-optometry platform integrated with Jakarta's national health ID system (e-KTP)</w:t>
      </w:r>
    </w:p>
    <w:bookmarkEnd w:id="26"/>
    <w:bookmarkStart w:id="27" w:name="Xfe3c3ce877893a07c79b34139348aa2520f01c9"/>
    <w:p>
      <w:pPr>
        <w:pStyle w:val="Heading2"/>
      </w:pPr>
      <w:r>
        <w:t xml:space="preserve">Conclusion: The Future of Optometry in Indonesia Jakarta</w:t>
      </w:r>
    </w:p>
    <w:p>
      <w:pPr>
        <w:pStyle w:val="FirstParagraph"/>
      </w:pPr>
      <w:r>
        <w:t xml:space="preserve">This Sales Report confirms that our Optometrist practice has established a sustainable growth trajectory within Indonesia Jakarta's evolving healthcare ecosystem. By addressing Jakarta-specific market needs through cultural intelligence, technology adoption, and strategic partnerships, we've outperformed regional competitors by 23% in patient acquisition growth. The key to continued success lies in deepening our integration with Jakarta's urban fabric – from leveraging the city's digital infrastructure for telehealth services to participating in community health initiatives that align with Indonesia's national vision for universal healthcare access.</w:t>
      </w:r>
    </w:p>
    <w:p>
      <w:pPr>
        <w:pStyle w:val="BodyText"/>
      </w:pPr>
      <w:r>
        <w:t xml:space="preserve">As we move into 2024, our focus remains on making high-quality optometric care accessible across all Jakarta socioeconomic strata while maintaining exceptional clinical standards. This Sales Report serves as both a performance snapshot and strategic roadmap, demonstrating how a forward-thinking Optometrist practice can thrive within Indonesia's largest metropolitan market.</w:t>
      </w:r>
    </w:p>
    <w:p>
      <w:pPr>
        <w:pStyle w:val="BodyText"/>
      </w:pPr>
      <w:r>
        <w:rPr>
          <w:bCs/>
          <w:b/>
        </w:rPr>
        <w:t xml:space="preserve">Prepared By:</w:t>
      </w:r>
      <w:r>
        <w:t xml:space="preserve"> </w:t>
      </w:r>
      <w:r>
        <w:t xml:space="preserve">Jakarta Optometry Group Analytics Department</w:t>
      </w:r>
      <w:r>
        <w:br/>
      </w:r>
      <w:r>
        <w:rPr>
          <w:bCs/>
          <w:b/>
        </w:rPr>
        <w:t xml:space="preserve">Date:</w:t>
      </w:r>
      <w:r>
        <w:t xml:space="preserve"> </w:t>
      </w:r>
      <w:r>
        <w:t xml:space="preserve">October 26, 2023</w:t>
      </w:r>
      <w:r>
        <w:br/>
      </w:r>
      <w:r>
        <w:rPr>
          <w:bCs/>
          <w:b/>
        </w:rPr>
        <w:t xml:space="preserve">Report Period:</w:t>
      </w:r>
      <w:r>
        <w:t xml:space="preserve"> </w:t>
      </w:r>
      <w:r>
        <w:t xml:space="preserve">January 1 – December 31,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Jakarta, Indonesia</dc:title>
  <dc:creator/>
  <dc:language>en</dc:language>
  <cp:keywords/>
  <dcterms:created xsi:type="dcterms:W3CDTF">2026-07-24T19:34:52Z</dcterms:created>
  <dcterms:modified xsi:type="dcterms:W3CDTF">2026-07-24T19:34:52Z</dcterms:modified>
</cp:coreProperties>
</file>

<file path=docProps/custom.xml><?xml version="1.0" encoding="utf-8"?>
<Properties xmlns="http://schemas.openxmlformats.org/officeDocument/2006/custom-properties" xmlns:vt="http://schemas.openxmlformats.org/officeDocument/2006/docPropsVTypes"/>
</file>