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Baghdad,</w:t>
      </w:r>
      <w:r>
        <w:t xml:space="preserve"> </w:t>
      </w:r>
      <w:r>
        <w:t xml:space="preserve">Iraq</w:t>
      </w:r>
    </w:p>
    <w:bookmarkStart w:id="28" w:name="Xf439e906c6f7bdbfecc1bc82814cff797d19583"/>
    <w:p>
      <w:pPr>
        <w:pStyle w:val="Heading1"/>
      </w:pPr>
      <w:r>
        <w:t xml:space="preserve">SALES PERFORMANCE REPORT FOR OPTOMETRIST SERVICES IN BAGHDAD, IRAQ</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optometrist practice network across Baghdad, Iraq during Q3 2023. As a leading provider of eye care services in the region, we have achieved remarkable growth in patient acquisition, revenue generation, and community impact. The report underscores how strategic adaptation to local market needs has positioned our Optometrist clinics as essential healthcare pillars within Iraq Baghdad's evolving medical landscape.</w:t>
      </w:r>
    </w:p>
    <w:bookmarkEnd w:id="20"/>
    <w:bookmarkStart w:id="21" w:name="sales-performance-highlights-q3-2023"/>
    <w:p>
      <w:pPr>
        <w:pStyle w:val="Heading2"/>
      </w:pPr>
      <w:r>
        <w:t xml:space="preserve">Sales Performance Highlights (Q3 2023)</w:t>
      </w:r>
    </w:p>
    <w:p>
      <w:pPr>
        <w:pStyle w:val="FirstParagraph"/>
      </w:pPr>
      <w:r>
        <w:t xml:space="preserve">Our Baghdad-based optometrist practice network has demonstrated exceptional growth across all service lines. Total revenue for Q3 reached $147,850 USD, representing a 28% increase from Q2 and a 41% year-over-year surge. Key performance indicators include:</w:t>
      </w:r>
    </w:p>
    <w:p>
      <w:pPr>
        <w:numPr>
          <w:ilvl w:val="0"/>
          <w:numId w:val="1001"/>
        </w:numPr>
        <w:pStyle w:val="Compact"/>
      </w:pPr>
      <w:r>
        <w:rPr>
          <w:bCs/>
          <w:b/>
        </w:rPr>
        <w:t xml:space="preserve">Patient Volume:</w:t>
      </w:r>
      <w:r>
        <w:t xml:space="preserve"> </w:t>
      </w:r>
      <w:r>
        <w:t xml:space="preserve">3,875 new consultations (up 35% YoY) with a 67% retention rate for follow-up appointments</w:t>
      </w:r>
    </w:p>
    <w:p>
      <w:pPr>
        <w:numPr>
          <w:ilvl w:val="0"/>
          <w:numId w:val="1001"/>
        </w:numPr>
        <w:pStyle w:val="Compact"/>
      </w:pPr>
      <w:r>
        <w:rPr>
          <w:bCs/>
          <w:b/>
        </w:rPr>
        <w:t xml:space="preserve">Spectacle Sales:</w:t>
      </w:r>
      <w:r>
        <w:t xml:space="preserve"> </w:t>
      </w:r>
      <w:r>
        <w:t xml:space="preserve">$89,200 revenue (42% of total), driven by demand for affordable prescription glasses in Baghdad neighborhoods</w:t>
      </w:r>
    </w:p>
    <w:p>
      <w:pPr>
        <w:numPr>
          <w:ilvl w:val="0"/>
          <w:numId w:val="1001"/>
        </w:numPr>
        <w:pStyle w:val="Compact"/>
      </w:pPr>
      <w:r>
        <w:rPr>
          <w:bCs/>
          <w:b/>
        </w:rPr>
        <w:t xml:space="preserve">Contact Lenses:</w:t>
      </w:r>
      <w:r>
        <w:t xml:space="preserve"> </w:t>
      </w:r>
      <w:r>
        <w:t xml:space="preserve">$32,500 revenue (22%), with 17% growth from our new extended-wear product line</w:t>
      </w:r>
    </w:p>
    <w:p>
      <w:pPr>
        <w:numPr>
          <w:ilvl w:val="0"/>
          <w:numId w:val="1001"/>
        </w:numPr>
        <w:pStyle w:val="Compact"/>
      </w:pPr>
      <w:r>
        <w:rPr>
          <w:bCs/>
          <w:b/>
        </w:rPr>
        <w:t xml:space="preserve">Diagnostics &amp; Treatments:</w:t>
      </w:r>
      <w:r>
        <w:t xml:space="preserve"> </w:t>
      </w:r>
      <w:r>
        <w:t xml:space="preserve">$26,150 revenue (18%), including significant demand for diabetic retinopathy screenings</w:t>
      </w:r>
    </w:p>
    <w:p>
      <w:pPr>
        <w:numPr>
          <w:ilvl w:val="0"/>
          <w:numId w:val="1001"/>
        </w:numPr>
        <w:pStyle w:val="Compact"/>
      </w:pPr>
      <w:r>
        <w:rPr>
          <w:bCs/>
          <w:b/>
        </w:rPr>
        <w:t xml:space="preserve">Community Outreach:</w:t>
      </w:r>
      <w:r>
        <w:t xml:space="preserve"> </w:t>
      </w:r>
      <w:r>
        <w:t xml:space="preserve">92 eye health awareness sessions conducted across 14 Baghdad districts</w:t>
      </w:r>
    </w:p>
    <w:bookmarkEnd w:id="21"/>
    <w:bookmarkStart w:id="22" w:name="market-analysis-in-iraq-baghdad"/>
    <w:p>
      <w:pPr>
        <w:pStyle w:val="Heading2"/>
      </w:pPr>
      <w:r>
        <w:t xml:space="preserve">Market Analysis in Iraq Baghdad</w:t>
      </w:r>
    </w:p>
    <w:p>
      <w:pPr>
        <w:pStyle w:val="FirstParagraph"/>
      </w:pPr>
      <w:r>
        <w:t xml:space="preserve">The optometry market in Baghdad presents unique opportunities and challenges. With approximately 7.5 million residents, the city has only three major optometrist facilities operating at full capacity – highlighting significant market underservice. Our Sales Report identifies critical regional factors:</w:t>
      </w:r>
    </w:p>
    <w:p>
      <w:pPr>
        <w:numPr>
          <w:ilvl w:val="0"/>
          <w:numId w:val="1002"/>
        </w:numPr>
        <w:pStyle w:val="Compact"/>
      </w:pPr>
      <w:r>
        <w:rPr>
          <w:bCs/>
          <w:b/>
        </w:rPr>
        <w:t xml:space="preserve">Unmet Demand:</w:t>
      </w:r>
      <w:r>
        <w:t xml:space="preserve"> </w:t>
      </w:r>
      <w:r>
        <w:t xml:space="preserve">Over 65% of Baghdad residents report difficulty accessing regular eye examinations due to clinic shortages</w:t>
      </w:r>
    </w:p>
    <w:p>
      <w:pPr>
        <w:numPr>
          <w:ilvl w:val="0"/>
          <w:numId w:val="1002"/>
        </w:numPr>
        <w:pStyle w:val="Compact"/>
      </w:pPr>
      <w:r>
        <w:rPr>
          <w:bCs/>
          <w:b/>
        </w:rPr>
        <w:t xml:space="preserve">Cultural Adaptation:</w:t>
      </w:r>
      <w:r>
        <w:t xml:space="preserve"> </w:t>
      </w:r>
      <w:r>
        <w:t xml:space="preserve">Successful optometrist services require sensitivity to local customs – we've implemented female-only appointment slots and modesty-friendly examination rooms</w:t>
      </w:r>
    </w:p>
    <w:p>
      <w:pPr>
        <w:numPr>
          <w:ilvl w:val="0"/>
          <w:numId w:val="1002"/>
        </w:numPr>
        <w:pStyle w:val="Compact"/>
      </w:pPr>
      <w:r>
        <w:rPr>
          <w:bCs/>
          <w:b/>
        </w:rPr>
        <w:t xml:space="preserve">Economic Factors:</w:t>
      </w:r>
      <w:r>
        <w:t xml:space="preserve"> </w:t>
      </w:r>
      <w:r>
        <w:t xml:space="preserve">Currency fluctuations have increased lens import costs by 19%, countered by strategic bulk purchasing with regional partners</w:t>
      </w:r>
    </w:p>
    <w:p>
      <w:pPr>
        <w:numPr>
          <w:ilvl w:val="0"/>
          <w:numId w:val="1002"/>
        </w:numPr>
        <w:pStyle w:val="Compact"/>
      </w:pPr>
      <w:r>
        <w:rPr>
          <w:bCs/>
          <w:b/>
        </w:rPr>
        <w:t xml:space="preserve">Demographic Shifts:</w:t>
      </w:r>
      <w:r>
        <w:t xml:space="preserve"> </w:t>
      </w:r>
      <w:r>
        <w:t xml:space="preserve">Rising diabetes rates (24% prevalence in Baghdad) drive urgent demand for specialized retinal screenings</w:t>
      </w:r>
    </w:p>
    <w:bookmarkEnd w:id="22"/>
    <w:bookmarkStart w:id="23" w:name="X5bea46b734f0d463bf8e6791ce7253b3732dd5d"/>
    <w:p>
      <w:pPr>
        <w:pStyle w:val="Heading2"/>
      </w:pPr>
      <w:r>
        <w:t xml:space="preserve">Strategic Initiatives Driving Sales Growth</w:t>
      </w:r>
    </w:p>
    <w:p>
      <w:pPr>
        <w:pStyle w:val="FirstParagraph"/>
      </w:pPr>
      <w:r>
        <w:t xml:space="preserve">Our Baghdad optometrist network implemented targeted initiatives that directly contributed to Q3 sales success:</w:t>
      </w:r>
    </w:p>
    <w:p>
      <w:pPr>
        <w:pStyle w:val="BodyText"/>
      </w:pPr>
      <w:r>
        <w:rPr>
          <w:bCs/>
          <w:b/>
        </w:rPr>
        <w:t xml:space="preserve">1. Mobile Vision Units for Underserved Areas:</w:t>
      </w:r>
      <w:r>
        <w:t xml:space="preserve"> </w:t>
      </w:r>
      <w:r>
        <w:t xml:space="preserve">Deployed two mobile clinics serving 5 districts with no existing optometrist services, generating $24,300 in revenue and capturing 872 new patient records.</w:t>
      </w:r>
    </w:p>
    <w:p>
      <w:pPr>
        <w:pStyle w:val="BodyText"/>
      </w:pPr>
      <w:r>
        <w:rPr>
          <w:bCs/>
          <w:b/>
        </w:rPr>
        <w:t xml:space="preserve">2. Government Partnership Program:</w:t>
      </w:r>
      <w:r>
        <w:t xml:space="preserve"> </w:t>
      </w:r>
      <w:r>
        <w:t xml:space="preserve">Collaborated with Baghdad Ministry of Health for subsidized eye exams for public school children (15% discount), increasing pediatric visits by 63% and establishing community trust.</w:t>
      </w:r>
    </w:p>
    <w:p>
      <w:pPr>
        <w:pStyle w:val="BodyText"/>
      </w:pPr>
      <w:r>
        <w:rPr>
          <w:bCs/>
          <w:b/>
        </w:rPr>
        <w:t xml:space="preserve">3. Local Manufacturing Partnerships:</w:t>
      </w:r>
      <w:r>
        <w:t xml:space="preserve"> </w:t>
      </w:r>
      <w:r>
        <w:t xml:space="preserve">Partnered with Iraqi glass manufacturers to produce 40% of our spectacles locally, reducing costs by $18,200 monthly while supporting Baghdad's economy.</w:t>
      </w:r>
    </w:p>
    <w:bookmarkEnd w:id="23"/>
    <w:bookmarkStart w:id="24" w:name="challenges-in-iraq-baghdad-market"/>
    <w:p>
      <w:pPr>
        <w:pStyle w:val="Heading2"/>
      </w:pPr>
      <w:r>
        <w:t xml:space="preserve">Challenges in Iraq Baghdad Market</w:t>
      </w:r>
    </w:p>
    <w:p>
      <w:pPr>
        <w:pStyle w:val="FirstParagraph"/>
      </w:pPr>
      <w:r>
        <w:t xml:space="preserve">Our Sales Report acknowledges regional challenges requiring strategic navigation:</w:t>
      </w:r>
    </w:p>
    <w:p>
      <w:pPr>
        <w:numPr>
          <w:ilvl w:val="0"/>
          <w:numId w:val="1003"/>
        </w:numPr>
        <w:pStyle w:val="Compact"/>
      </w:pPr>
      <w:r>
        <w:rPr>
          <w:bCs/>
          <w:b/>
        </w:rPr>
        <w:t xml:space="preserve">Supply Chain Disruptions:</w:t>
      </w:r>
      <w:r>
        <w:t xml:space="preserve"> </w:t>
      </w:r>
      <w:r>
        <w:t xml:space="preserve">Import delays for specialized diagnostic equipment (3-4 weeks average) impacted our advanced screening services</w:t>
      </w:r>
    </w:p>
    <w:p>
      <w:pPr>
        <w:numPr>
          <w:ilvl w:val="0"/>
          <w:numId w:val="1003"/>
        </w:numPr>
        <w:pStyle w:val="Compact"/>
      </w:pPr>
      <w:r>
        <w:rPr>
          <w:bCs/>
          <w:b/>
        </w:rPr>
        <w:t xml:space="preserve">Currency Volatility:</w:t>
      </w:r>
      <w:r>
        <w:t xml:space="preserve"> </w:t>
      </w:r>
      <w:r>
        <w:t xml:space="preserve">USD exchange rate fluctuations affected pricing strategy for imported lenses (requiring monthly price adjustments)</w:t>
      </w:r>
    </w:p>
    <w:p>
      <w:pPr>
        <w:numPr>
          <w:ilvl w:val="0"/>
          <w:numId w:val="1003"/>
        </w:numPr>
        <w:pStyle w:val="Compact"/>
      </w:pPr>
      <w:r>
        <w:rPr>
          <w:bCs/>
          <w:b/>
        </w:rPr>
        <w:t xml:space="preserve">Healthcare Literacy:</w:t>
      </w:r>
      <w:r>
        <w:t xml:space="preserve"> </w:t>
      </w:r>
      <w:r>
        <w:t xml:space="preserve">58% of Baghdad residents don't understand the importance of regular eye exams, requiring significant educational investment</w:t>
      </w:r>
    </w:p>
    <w:bookmarkEnd w:id="24"/>
    <w:bookmarkStart w:id="25" w:name="competitive-positioning-in-baghdad"/>
    <w:p>
      <w:pPr>
        <w:pStyle w:val="Heading2"/>
      </w:pPr>
      <w:r>
        <w:t xml:space="preserve">Competitive Positioning in Baghdad</w:t>
      </w:r>
    </w:p>
    <w:p>
      <w:pPr>
        <w:pStyle w:val="FirstParagraph"/>
      </w:pPr>
      <w:r>
        <w:t xml:space="preserve">Compared to competitors, our optometrist practice maintains a distinct advantage through:</w:t>
      </w:r>
    </w:p>
    <w:p>
      <w:pPr>
        <w:numPr>
          <w:ilvl w:val="0"/>
          <w:numId w:val="1004"/>
        </w:numPr>
        <w:pStyle w:val="Compact"/>
      </w:pPr>
      <w:r>
        <w:rPr>
          <w:bCs/>
          <w:b/>
        </w:rPr>
        <w:t xml:space="preserve">Price Accessibility:</w:t>
      </w:r>
      <w:r>
        <w:t xml:space="preserve"> </w:t>
      </w:r>
      <w:r>
        <w:t xml:space="preserve">Average consultation fee of $18 vs. regional average of $32</w:t>
      </w:r>
    </w:p>
    <w:p>
      <w:pPr>
        <w:numPr>
          <w:ilvl w:val="0"/>
          <w:numId w:val="1004"/>
        </w:numPr>
        <w:pStyle w:val="Compact"/>
      </w:pPr>
      <w:r>
        <w:rPr>
          <w:bCs/>
          <w:b/>
        </w:rPr>
        <w:t xml:space="preserve">Technology Integration:</w:t>
      </w:r>
      <w:r>
        <w:t xml:space="preserve"> </w:t>
      </w:r>
      <w:r>
        <w:t xml:space="preserve">First in Baghdad to implement Arabic-language digital eye health records (adopted by 78% of patients)</w:t>
      </w:r>
    </w:p>
    <w:p>
      <w:pPr>
        <w:numPr>
          <w:ilvl w:val="0"/>
          <w:numId w:val="1004"/>
        </w:numPr>
        <w:pStyle w:val="Compact"/>
      </w:pPr>
      <w:r>
        <w:rPr>
          <w:bCs/>
          <w:b/>
        </w:rPr>
        <w:t xml:space="preserve">Cultural Competency:</w:t>
      </w:r>
      <w:r>
        <w:t xml:space="preserve"> </w:t>
      </w:r>
      <w:r>
        <w:t xml:space="preserve">All staff trained in Iraqi cultural protocols for healthcare delivery</w:t>
      </w:r>
    </w:p>
    <w:bookmarkEnd w:id="25"/>
    <w:bookmarkStart w:id="26" w:name="future-sales-strategy-recommendations"/>
    <w:p>
      <w:pPr>
        <w:pStyle w:val="Heading2"/>
      </w:pPr>
      <w:r>
        <w:t xml:space="preserve">Future Sales Strategy Recommendations</w:t>
      </w:r>
    </w:p>
    <w:p>
      <w:pPr>
        <w:pStyle w:val="FirstParagraph"/>
      </w:pPr>
      <w:r>
        <w:t xml:space="preserve">Based on Q3 performance, we recommend the following for Iraq Baghdad market expansion:</w:t>
      </w:r>
    </w:p>
    <w:p>
      <w:pPr>
        <w:numPr>
          <w:ilvl w:val="0"/>
          <w:numId w:val="1005"/>
        </w:numPr>
        <w:pStyle w:val="Compact"/>
      </w:pPr>
      <w:r>
        <w:rPr>
          <w:bCs/>
          <w:b/>
        </w:rPr>
        <w:t xml:space="preserve">Accelerate Mobile Clinics Expansion:</w:t>
      </w:r>
      <w:r>
        <w:t xml:space="preserve"> </w:t>
      </w:r>
      <w:r>
        <w:t xml:space="preserve">Allocate $45,000 for three additional mobile units targeting Baghdad's northern districts (projected $118,600 annual revenue)</w:t>
      </w:r>
    </w:p>
    <w:p>
      <w:pPr>
        <w:numPr>
          <w:ilvl w:val="0"/>
          <w:numId w:val="1005"/>
        </w:numPr>
        <w:pStyle w:val="Compact"/>
      </w:pPr>
      <w:r>
        <w:rPr>
          <w:bCs/>
          <w:b/>
        </w:rPr>
        <w:t xml:space="preserve">Develop Local Training Programs:</w:t>
      </w:r>
      <w:r>
        <w:t xml:space="preserve"> </w:t>
      </w:r>
      <w:r>
        <w:t xml:space="preserve">Partner with Baghdad Medical University to establish optometrist certification program (estimated 27% market share growth in 24 months)</w:t>
      </w:r>
    </w:p>
    <w:p>
      <w:pPr>
        <w:numPr>
          <w:ilvl w:val="0"/>
          <w:numId w:val="1005"/>
        </w:numPr>
        <w:pStyle w:val="Compact"/>
      </w:pPr>
      <w:r>
        <w:rPr>
          <w:bCs/>
          <w:b/>
        </w:rPr>
        <w:t xml:space="preserve">Implement Subscription Model:</w:t>
      </w:r>
      <w:r>
        <w:t xml:space="preserve"> </w:t>
      </w:r>
      <w:r>
        <w:t xml:space="preserve">Introduce "Eye Health Pass" ($15/month for annual check-ups + discounted lenses) targeting corporate clients across Baghdad</w:t>
      </w:r>
    </w:p>
    <w:p>
      <w:pPr>
        <w:numPr>
          <w:ilvl w:val="0"/>
          <w:numId w:val="1005"/>
        </w:numPr>
        <w:pStyle w:val="Compact"/>
      </w:pPr>
      <w:r>
        <w:rPr>
          <w:bCs/>
          <w:b/>
        </w:rPr>
        <w:t xml:space="preserve">Multilingual Support Enhancement:</w:t>
      </w:r>
      <w:r>
        <w:t xml:space="preserve"> </w:t>
      </w:r>
      <w:r>
        <w:t xml:space="preserve">Add Kurdish and English service options to capture wider market segments in Baghdad's diverse population</w:t>
      </w:r>
    </w:p>
    <w:bookmarkEnd w:id="26"/>
    <w:bookmarkStart w:id="27" w:name="conclusion"/>
    <w:p>
      <w:pPr>
        <w:pStyle w:val="Heading2"/>
      </w:pPr>
      <w:r>
        <w:t xml:space="preserve">Conclusion</w:t>
      </w:r>
    </w:p>
    <w:p>
      <w:pPr>
        <w:pStyle w:val="FirstParagraph"/>
      </w:pPr>
      <w:r>
        <w:t xml:space="preserve">Our Sales Report confirms that the Baghdad optometrist market has reached a pivotal growth phase. By strategically addressing Iraq's unique healthcare needs through culturally intelligent service delivery, we have not only achieved significant revenue growth but also established our practice as a community health essential. The 41% year-over-year sales increase demonstrates how responsive optometrist services can thrive in Baghdad despite regional challenges.</w:t>
      </w:r>
    </w:p>
    <w:p>
      <w:pPr>
        <w:pStyle w:val="BodyText"/>
      </w:pPr>
      <w:r>
        <w:t xml:space="preserve">As we continue to invest in mobile health initiatives and local partnerships, our optometrist network is positioned to become the most trusted eye care provider across Iraq Baghdad. This Q3 performance validates our market approach – where patient accessibility, cultural respect, and economic pragmatism converge to create sustainable growth in one of the Middle East's most dynamic healthcare markets.</w:t>
      </w:r>
    </w:p>
    <w:p>
      <w:pPr>
        <w:pStyle w:val="BodyText"/>
      </w:pPr>
      <w:r>
        <w:t xml:space="preserve">Prepared by: Baghdad Optometric Solutions Strategic Team</w:t>
      </w:r>
      <w:r>
        <w:br/>
      </w:r>
      <w:r>
        <w:t xml:space="preserve">Report Date: October 15, 2023</w:t>
      </w:r>
      <w:r>
        <w:br/>
      </w: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Baghdad, Iraq</dc:title>
  <dc:creator/>
  <dc:language>en</dc:language>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