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c153753c0b7f121e8b5b1b74b37706a34f53512"/>
    <w:p>
      <w:pPr>
        <w:pStyle w:val="Heading1"/>
      </w:pPr>
      <w:r>
        <w:t xml:space="preserve">Comprehensive Sales Performance Report: Optometrist Practice in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Optometry Practices across Malaysia</w:t>
      </w:r>
      <w:r>
        <w:br/>
      </w:r>
      <w:r>
        <w:rPr>
          <w:bCs/>
          <w:b/>
        </w:rPr>
        <w:t xml:space="preserve">Report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Sales Report provides a detailed analysis of optometric services and product sales performance at our flagship practice in Kuala Lumpur, Malaysia. The quarter demonstrated robust growth with a 18.7% increase in total revenue compared to Q2 2023, driven by strategic initiatives aligned with the evolving healthcare landscape of Malaysia Kuala Lumpur. As an essential eye care provider serving the Klang Valley's population of over 7 million residents, our practice continues to solidify its position as a leading optometrist service hub in this dynamic urban center.</w:t>
      </w:r>
    </w:p>
    <w:bookmarkEnd w:id="20"/>
    <w:bookmarkStart w:id="21" w:name="Xa5b6b8f2911fba9ad6e1b5df291a7ee68a543c3"/>
    <w:p>
      <w:pPr>
        <w:pStyle w:val="Heading2"/>
      </w:pPr>
      <w:r>
        <w:t xml:space="preserve">2. Sales Performance Overview (Kuala Lumpur Market)</w:t>
      </w:r>
    </w:p>
    <w:p>
      <w:pPr>
        <w:pStyle w:val="FirstParagraph"/>
      </w:pPr>
      <w:r>
        <w:t xml:space="preserve">In Malaysia Kuala Lumpur, the optometry sector has experienced accelerated growth due to rising awareness of eye health and increased digital device usage. Our practice recorded RM 1,485,000 in total sales during Q3 2023 – a significant milestone reflecting strong consumer demand. Key highlights include:</w:t>
      </w:r>
    </w:p>
    <w:p>
      <w:pPr>
        <w:numPr>
          <w:ilvl w:val="0"/>
          <w:numId w:val="1001"/>
        </w:numPr>
        <w:pStyle w:val="Compact"/>
      </w:pPr>
      <w:r>
        <w:rPr>
          <w:bCs/>
          <w:b/>
        </w:rPr>
        <w:t xml:space="preserve">Service Revenue Growth:</w:t>
      </w:r>
      <w:r>
        <w:t xml:space="preserve"> </w:t>
      </w:r>
      <w:r>
        <w:t xml:space="preserve">+21.4% YoY (Eye exams: RM 658,400; Vision therapy: RM 197,200)</w:t>
      </w:r>
    </w:p>
    <w:p>
      <w:pPr>
        <w:numPr>
          <w:ilvl w:val="0"/>
          <w:numId w:val="1001"/>
        </w:numPr>
        <w:pStyle w:val="Compact"/>
      </w:pPr>
      <w:r>
        <w:rPr>
          <w:bCs/>
          <w:b/>
        </w:rPr>
        <w:t xml:space="preserve">Glasses &amp; Contact Lenses:</w:t>
      </w:r>
      <w:r>
        <w:t xml:space="preserve"> </w:t>
      </w:r>
      <w:r>
        <w:t xml:space="preserve">+15.3% (Total RM 587,600) driven by premium frame collections and specialty lenses</w:t>
      </w:r>
    </w:p>
    <w:p>
      <w:pPr>
        <w:numPr>
          <w:ilvl w:val="0"/>
          <w:numId w:val="1001"/>
        </w:numPr>
        <w:pStyle w:val="Compact"/>
      </w:pPr>
      <w:r>
        <w:rPr>
          <w:bCs/>
          <w:b/>
        </w:rPr>
        <w:t xml:space="preserve">Customer Acquisition:</w:t>
      </w:r>
      <w:r>
        <w:t xml:space="preserve"> </w:t>
      </w:r>
      <w:r>
        <w:t xml:space="preserve">1,422 new patients (32% from digital marketing campaigns)</w:t>
      </w:r>
    </w:p>
    <w:p>
      <w:pPr>
        <w:pStyle w:val="FirstParagraph"/>
      </w:pPr>
      <w:r>
        <w:t xml:space="preserve">This growth positions our Kuala Lumpur optometrist practice as a market leader in Malaysia's urban healthcare sector. The sales trajectory aligns with national health initiatives promoting preventive eye care under Malaysia's National Eye Health Program.</w:t>
      </w:r>
    </w:p>
    <w:bookmarkEnd w:id="21"/>
    <w:bookmarkStart w:id="22" w:name="Xe46fb2f8563da98e5848a09f7c071ffbb3d5ec9"/>
    <w:p>
      <w:pPr>
        <w:pStyle w:val="Heading2"/>
      </w:pPr>
      <w:r>
        <w:t xml:space="preserve">3. Market Analysis: Optometry Demand in Kuala Lumpur</w:t>
      </w:r>
    </w:p>
    <w:p>
      <w:pPr>
        <w:pStyle w:val="FirstParagraph"/>
      </w:pPr>
      <w:r>
        <w:t xml:space="preserve">The Malaysian capital presents unique opportunities and challenges for optometrist practices. With 68% of KL residents aged 15-45 using digital devices for &gt;7 hours daily (Malaysian Health Ministry, 2023), demand for specialized eye care has surged. Our Sales Report confirms this trend:</w:t>
      </w:r>
    </w:p>
    <w:p>
      <w:pPr>
        <w:numPr>
          <w:ilvl w:val="0"/>
          <w:numId w:val="1002"/>
        </w:numPr>
        <w:pStyle w:val="Compact"/>
      </w:pPr>
      <w:r>
        <w:t xml:space="preserve">Computer Vision Syndrome consultations rose by 38% year-on-year</w:t>
      </w:r>
    </w:p>
    <w:p>
      <w:pPr>
        <w:numPr>
          <w:ilvl w:val="0"/>
          <w:numId w:val="1002"/>
        </w:numPr>
        <w:pStyle w:val="Compact"/>
      </w:pPr>
      <w:r>
        <w:t xml:space="preserve">Children's eye screening services grew by 45% (driven by school health partnerships)</w:t>
      </w:r>
    </w:p>
    <w:p>
      <w:pPr>
        <w:numPr>
          <w:ilvl w:val="0"/>
          <w:numId w:val="1002"/>
        </w:numPr>
        <w:pStyle w:val="Compact"/>
      </w:pPr>
      <w:r>
        <w:t xml:space="preserve">Laser eye surgery referrals increased to 127 cases in Q3</w:t>
      </w:r>
    </w:p>
    <w:p>
      <w:pPr>
        <w:pStyle w:val="FirstParagraph"/>
      </w:pPr>
      <w:r>
        <w:t xml:space="preserve">Competitor analysis reveals that practices in Malaysia Kuala Lumpur offering integrated technology (like AI-powered retinal scans) consistently outperform the market average. Our investment in OCT imaging and digital refractometry has directly contributed to this competitive edge, evidenced by 27% higher patient retention rates compared to regional averages.</w:t>
      </w:r>
    </w:p>
    <w:bookmarkEnd w:id="22"/>
    <w:bookmarkStart w:id="23" w:name="X43f47babe3c61e14a897e4d91231f4e73b89e18"/>
    <w:p>
      <w:pPr>
        <w:pStyle w:val="Heading2"/>
      </w:pPr>
      <w:r>
        <w:t xml:space="preserve">4. Customer Insights: Kuala Lumpur Demographics</w:t>
      </w:r>
    </w:p>
    <w:p>
      <w:pPr>
        <w:pStyle w:val="FirstParagraph"/>
      </w:pPr>
      <w:r>
        <w:t xml:space="preserve">Data from our optometrist practice confirms distinct customer profiles in Malaysia's most populous city:</w:t>
      </w:r>
    </w:p>
    <w:p>
      <w:pPr>
        <w:pStyle w:val="BodyText"/>
      </w:pPr>
      <w:r>
        <w:t xml:space="preserve">Segment</w:t>
      </w:r>
    </w:p>
    <w:p>
      <w:pPr>
        <w:pStyle w:val="BodyText"/>
      </w:pPr>
      <w:r>
        <w:t xml:space="preserve">Market Share</w:t>
      </w:r>
    </w:p>
    <w:p>
      <w:pPr>
        <w:pStyle w:val="BodyText"/>
      </w:pPr>
      <w:r>
        <w:t xml:space="preserve">Growth Trend</w:t>
      </w:r>
    </w:p>
    <w:p>
      <w:pPr>
        <w:pStyle w:val="BodyText"/>
      </w:pPr>
      <w:r>
        <w:t xml:space="preserve">Premium Service Adoption</w:t>
      </w:r>
    </w:p>
    <w:p>
      <w:pPr>
        <w:pStyle w:val="BodyText"/>
      </w:pPr>
      <w:r>
        <w:t xml:space="preserve">Working Professionals (25-44)</w:t>
      </w:r>
    </w:p>
    <w:p>
      <w:pPr>
        <w:pStyle w:val="BodyText"/>
      </w:pPr>
      <w:r>
        <w:t xml:space="preserve">52%</w:t>
      </w:r>
    </w:p>
    <w:p>
      <w:pPr>
        <w:pStyle w:val="BodyText"/>
      </w:pPr>
      <w:r>
        <w:t xml:space="preserve">+23% YoY</w:t>
      </w:r>
    </w:p>
    <w:p>
      <w:pPr>
        <w:pStyle w:val="BodyText"/>
      </w:pPr>
      <w:r>
        <w:t xml:space="preserve">78% for blue-light blocking lenses</w:t>
      </w:r>
    </w:p>
    <w:p>
      <w:pPr>
        <w:pStyle w:val="BodyText"/>
      </w:pPr>
      <w:r>
        <w:t xml:space="preserve">Children (6-18)</w:t>
      </w:r>
    </w:p>
    <w:p>
      <w:pPr>
        <w:pStyle w:val="BodyText"/>
      </w:pPr>
      <w:r>
        <w:t xml:space="preserve">24%</w:t>
      </w:r>
    </w:p>
    <w:p>
      <w:pPr>
        <w:pStyle w:val="BodyText"/>
      </w:pPr>
      <w:r>
        <w:t xml:space="preserve">+45% YoY</w:t>
      </w:r>
    </w:p>
    <w:p>
      <w:pPr>
        <w:pStyle w:val="BodyText"/>
      </w:pPr>
      <w:r>
        <w:t xml:space="preserve">92% for anti-fatigue coatings</w:t>
      </w:r>
    </w:p>
    <w:p>
      <w:pPr>
        <w:pStyle w:val="BodyText"/>
      </w:pPr>
      <w:r>
        <w:t xml:space="preserve">Seniors (60+)</w:t>
      </w:r>
    </w:p>
    <w:p>
      <w:pPr>
        <w:pStyle w:val="BodyText"/>
      </w:pPr>
      <w:r>
        <w:t xml:space="preserve">18%</w:t>
      </w:r>
    </w:p>
    <w:p>
      <w:pPr>
        <w:pStyle w:val="BodyText"/>
      </w:pPr>
      <w:r>
        <w:t xml:space="preserve">*Note: 10.5% growth in cataract screening referrals from primary care clinics</w:t>
      </w:r>
    </w:p>
    <w:p>
      <w:pPr>
        <w:pStyle w:val="BodyText"/>
      </w:pPr>
      <w:r>
        <w:t xml:space="preserve">Notably, 63% of KL patients now prefer tele-consultation for follow-ups – a shift our Sales Report identifies as critical for expanding service reach across Malaysia's urban centers without physical office constraints.</w:t>
      </w:r>
    </w:p>
    <w:bookmarkEnd w:id="23"/>
    <w:bookmarkStart w:id="24" w:name="X0299a72ec89091aba2fc72a150a1728af9ac83d"/>
    <w:p>
      <w:pPr>
        <w:pStyle w:val="Heading2"/>
      </w:pPr>
      <w:r>
        <w:t xml:space="preserve">5. Strategic Product Breakdown: High-Value Service Performance</w:t>
      </w:r>
    </w:p>
    <w:p>
      <w:pPr>
        <w:pStyle w:val="FirstParagraph"/>
      </w:pPr>
      <w:r>
        <w:t xml:space="preserve">Our sales data reveals compelling insights about premium optometrist offerings in Kuala Lumpur:</w:t>
      </w:r>
    </w:p>
    <w:p>
      <w:pPr>
        <w:numPr>
          <w:ilvl w:val="0"/>
          <w:numId w:val="1003"/>
        </w:numPr>
        <w:pStyle w:val="Compact"/>
      </w:pPr>
      <w:r>
        <w:rPr>
          <w:bCs/>
          <w:b/>
        </w:rPr>
        <w:t xml:space="preserve">Premium Lens Solutions:</w:t>
      </w:r>
      <w:r>
        <w:t xml:space="preserve"> </w:t>
      </w:r>
      <w:r>
        <w:t xml:space="preserve">Oakley and Luxottica brands contributed 34% of all eyewear sales (up from 28% in Q2)</w:t>
      </w:r>
    </w:p>
    <w:p>
      <w:pPr>
        <w:numPr>
          <w:ilvl w:val="0"/>
          <w:numId w:val="1003"/>
        </w:numPr>
        <w:pStyle w:val="Compact"/>
      </w:pPr>
      <w:r>
        <w:rPr>
          <w:bCs/>
          <w:b/>
        </w:rPr>
        <w:t xml:space="preserve">Digital Eye Health Packages:</w:t>
      </w:r>
      <w:r>
        <w:t xml:space="preserve"> </w:t>
      </w:r>
      <w:r>
        <w:t xml:space="preserve">"Screen Time Protection" bundle (comprehensive exam + blue-light glasses) achieved 51% customer uptake</w:t>
      </w:r>
    </w:p>
    <w:p>
      <w:pPr>
        <w:numPr>
          <w:ilvl w:val="0"/>
          <w:numId w:val="1003"/>
        </w:numPr>
        <w:pStyle w:val="Compact"/>
      </w:pPr>
      <w:r>
        <w:rPr>
          <w:bCs/>
          <w:b/>
        </w:rPr>
        <w:t xml:space="preserve">Specialty Contact Lenses:</w:t>
      </w:r>
      <w:r>
        <w:t xml:space="preserve"> </w:t>
      </w:r>
      <w:r>
        <w:t xml:space="preserve">Dry-eye management solutions saw 67% repeat purchase rate</w:t>
      </w:r>
    </w:p>
    <w:p>
      <w:pPr>
        <w:pStyle w:val="FirstParagraph"/>
      </w:pPr>
      <w:r>
        <w:t xml:space="preserve">The success of these products directly correlates with Malaysia's growing middle-class demand for personalized eye care – a key market differentiator we've capitalized on in Kuala Lumpur.</w:t>
      </w:r>
    </w:p>
    <w:bookmarkEnd w:id="24"/>
    <w:bookmarkStart w:id="25" w:name="X66a85b0ff9f8377889c160de49daef19b8ecdb7"/>
    <w:p>
      <w:pPr>
        <w:pStyle w:val="Heading2"/>
      </w:pPr>
      <w:r>
        <w:t xml:space="preserve">6. Challenges and Opportunities in Malaysia Kuala Lumpur</w:t>
      </w:r>
    </w:p>
    <w:p>
      <w:pPr>
        <w:pStyle w:val="FirstParagraph"/>
      </w:pPr>
      <w:r>
        <w:t xml:space="preserve">This Sales Report identifies critical challenges requiring strategic attention:</w:t>
      </w:r>
    </w:p>
    <w:p>
      <w:pPr>
        <w:numPr>
          <w:ilvl w:val="0"/>
          <w:numId w:val="1004"/>
        </w:numPr>
        <w:pStyle w:val="Compact"/>
      </w:pPr>
      <w:r>
        <w:rPr>
          <w:iCs/>
          <w:i/>
        </w:rPr>
        <w:t xml:space="preserve">Supply Chain Delays:</w:t>
      </w:r>
      <w:r>
        <w:t xml:space="preserve"> </w:t>
      </w:r>
      <w:r>
        <w:t xml:space="preserve">Import duties on premium lenses increased 14% (Malaysia Customs, Q3 2023)</w:t>
      </w:r>
    </w:p>
    <w:p>
      <w:pPr>
        <w:numPr>
          <w:ilvl w:val="0"/>
          <w:numId w:val="1004"/>
        </w:numPr>
        <w:pStyle w:val="Compact"/>
      </w:pPr>
      <w:r>
        <w:rPr>
          <w:iCs/>
          <w:i/>
        </w:rPr>
        <w:t xml:space="preserve">Competitive Pricing Pressure:</w:t>
      </w:r>
      <w:r>
        <w:t xml:space="preserve"> </w:t>
      </w:r>
      <w:r>
        <w:t xml:space="preserve">New clinics in KL's Bukit Bintang district offering discounts</w:t>
      </w:r>
    </w:p>
    <w:p>
      <w:pPr>
        <w:numPr>
          <w:ilvl w:val="0"/>
          <w:numId w:val="1004"/>
        </w:numPr>
        <w:pStyle w:val="Compact"/>
      </w:pPr>
      <w:r>
        <w:rPr>
          <w:iCs/>
          <w:i/>
        </w:rPr>
        <w:t xml:space="preserve">Insurance Limitations:</w:t>
      </w:r>
      <w:r>
        <w:t xml:space="preserve"> </w:t>
      </w:r>
      <w:r>
        <w:t xml:space="preserve">Only 38% of patients have optical coverage under employer health plans</w:t>
      </w:r>
    </w:p>
    <w:p>
      <w:pPr>
        <w:pStyle w:val="FirstParagraph"/>
      </w:pPr>
      <w:r>
        <w:t xml:space="preserve">However, significant opportunities exist:</w:t>
      </w:r>
    </w:p>
    <w:p>
      <w:pPr>
        <w:numPr>
          <w:ilvl w:val="0"/>
          <w:numId w:val="1005"/>
        </w:numPr>
        <w:pStyle w:val="Compact"/>
      </w:pPr>
      <w:r>
        <w:t xml:space="preserve">Leveraging Malaysia's National Digital Health Blueprint to integrate tele-ophthalmology services</w:t>
      </w:r>
    </w:p>
    <w:p>
      <w:pPr>
        <w:numPr>
          <w:ilvl w:val="0"/>
          <w:numId w:val="1005"/>
        </w:numPr>
        <w:pStyle w:val="Compact"/>
      </w:pPr>
      <w:r>
        <w:t xml:space="preserve">Partnering with KL-based tech companies for AI eye screening in corporate wellness programs</w:t>
      </w:r>
    </w:p>
    <w:p>
      <w:pPr>
        <w:numPr>
          <w:ilvl w:val="0"/>
          <w:numId w:val="1005"/>
        </w:numPr>
        <w:pStyle w:val="Compact"/>
      </w:pPr>
      <w:r>
        <w:t xml:space="preserve">Tapping into Malaysia's growing medical tourism sector (20% of foreign patients are optometry referrals)</w:t>
      </w:r>
    </w:p>
    <w:bookmarkEnd w:id="25"/>
    <w:bookmarkStart w:id="26" w:name="recommendations-for-future-sales-growth"/>
    <w:p>
      <w:pPr>
        <w:pStyle w:val="Heading2"/>
      </w:pPr>
      <w:r>
        <w:t xml:space="preserve">7. Recommendations for Future Sales Growth</w:t>
      </w:r>
    </w:p>
    <w:p>
      <w:pPr>
        <w:pStyle w:val="FirstParagraph"/>
      </w:pPr>
      <w:r>
        <w:t xml:space="preserve">To sustain momentum in Malaysia Kuala Lumpur, we recommend:</w:t>
      </w:r>
    </w:p>
    <w:p>
      <w:pPr>
        <w:numPr>
          <w:ilvl w:val="0"/>
          <w:numId w:val="1006"/>
        </w:numPr>
        <w:pStyle w:val="Compact"/>
      </w:pPr>
      <w:r>
        <w:rPr>
          <w:bCs/>
          <w:b/>
        </w:rPr>
        <w:t xml:space="preserve">Launch KL-Specific Bundles:</w:t>
      </w:r>
      <w:r>
        <w:t xml:space="preserve"> </w:t>
      </w:r>
      <w:r>
        <w:t xml:space="preserve">Develop "KL Digital Worker" package with corporate partnerships (target: 30% market share by Q1 2024)</w:t>
      </w:r>
    </w:p>
    <w:p>
      <w:pPr>
        <w:numPr>
          <w:ilvl w:val="0"/>
          <w:numId w:val="1006"/>
        </w:numPr>
        <w:pStyle w:val="Compact"/>
      </w:pPr>
      <w:r>
        <w:rPr>
          <w:bCs/>
          <w:b/>
        </w:rPr>
        <w:t xml:space="preserve">Expand Insurance Partnerships:</w:t>
      </w:r>
      <w:r>
        <w:t xml:space="preserve"> </w:t>
      </w:r>
      <w:r>
        <w:t xml:space="preserve">Negotiate with 5 major Malaysian insurers to cover premium lens solutions</w:t>
      </w:r>
    </w:p>
    <w:p>
      <w:pPr>
        <w:numPr>
          <w:ilvl w:val="0"/>
          <w:numId w:val="1006"/>
        </w:numPr>
        <w:pStyle w:val="Compact"/>
      </w:pPr>
      <w:r>
        <w:rPr>
          <w:bCs/>
          <w:b/>
        </w:rPr>
        <w:t xml:space="preserve">Implement AI-Powered Retention System:</w:t>
      </w:r>
      <w:r>
        <w:t xml:space="preserve"> </w:t>
      </w:r>
      <w:r>
        <w:t xml:space="preserve">Reduce patient churn by predicting needs using KL demographic data</w:t>
      </w:r>
    </w:p>
    <w:p>
      <w:pPr>
        <w:numPr>
          <w:ilvl w:val="0"/>
          <w:numId w:val="1006"/>
        </w:numPr>
        <w:pStyle w:val="Compact"/>
      </w:pPr>
      <w:r>
        <w:rPr>
          <w:bCs/>
          <w:b/>
        </w:rPr>
        <w:t xml:space="preserve">Create Community Eye Health Events:</w:t>
      </w:r>
      <w:r>
        <w:t xml:space="preserve"> </w:t>
      </w:r>
      <w:r>
        <w:t xml:space="preserve">Host monthly free screenings at KL public libraries (aligns with Malaysia's Health Ministry community programs)</w:t>
      </w:r>
    </w:p>
    <w:bookmarkEnd w:id="26"/>
    <w:bookmarkStart w:id="27" w:name="conclusion"/>
    <w:p>
      <w:pPr>
        <w:pStyle w:val="Heading2"/>
      </w:pPr>
      <w:r>
        <w:t xml:space="preserve">8. Conclusion</w:t>
      </w:r>
    </w:p>
    <w:p>
      <w:pPr>
        <w:pStyle w:val="FirstParagraph"/>
      </w:pPr>
      <w:r>
        <w:t xml:space="preserve">This Sales Report confirms that our Kuala Lumpur optometrist practice is not only thriving in Malaysia's competitive healthcare market but also setting benchmarks for service innovation. The 18.7% revenue growth in Q3 demonstrates exceptional execution of our KL-specific sales strategy, which prioritizes digital integration and community health partnerships as core pillars.</w:t>
      </w:r>
    </w:p>
    <w:p>
      <w:pPr>
        <w:pStyle w:val="BodyText"/>
      </w:pPr>
      <w:r>
        <w:t xml:space="preserve">As Malaysia continues its healthcare transformation under Vision 2030, our practice remains uniquely positioned to lead the optometrist services sector across Kuala Lumpur. By doubling down on technology adoption and community engagement – while maintaining the personalized care that defines Malaysian patient expectations – we project 25% annual revenue growth through 2024. This Sales Report serves as both a testament to our current success and a strategic roadmap for dominating the optometrist market in Malaysia Kuala Lumpur for years to come.</w:t>
      </w:r>
    </w:p>
    <w:p>
      <w:pPr>
        <w:pStyle w:val="BodyText"/>
      </w:pPr>
      <w:r>
        <w:rPr>
          <w:bCs/>
          <w:b/>
        </w:rPr>
        <w:t xml:space="preserve">Prepared By:</w:t>
      </w:r>
      <w:r>
        <w:t xml:space="preserve"> </w:t>
      </w:r>
      <w:r>
        <w:t xml:space="preserve">Clinical Operations &amp; Sales Strategy Team</w:t>
      </w:r>
      <w:r>
        <w:br/>
      </w:r>
      <w:r>
        <w:rPr>
          <w:bCs/>
          <w:b/>
        </w:rPr>
        <w:t xml:space="preserve">Optometry Practice:</w:t>
      </w:r>
      <w:r>
        <w:t xml:space="preserve"> </w:t>
      </w:r>
      <w:r>
        <w:t xml:space="preserve">VisionCare KL | 203 Jalan Tun Razak, Kuala Lumpur 50400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 Kuala Lumpur, Malaysia</dc:title>
  <dc:creator/>
  <dc:language>en</dc:language>
  <cp:keywords/>
  <dcterms:created xsi:type="dcterms:W3CDTF">2026-07-21T08:47:24Z</dcterms:created>
  <dcterms:modified xsi:type="dcterms:W3CDTF">2026-07-21T08:47:24Z</dcterms:modified>
</cp:coreProperties>
</file>

<file path=docProps/custom.xml><?xml version="1.0" encoding="utf-8"?>
<Properties xmlns="http://schemas.openxmlformats.org/officeDocument/2006/custom-properties" xmlns:vt="http://schemas.openxmlformats.org/officeDocument/2006/docPropsVTypes"/>
</file>