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6" w:name="X2749134a195b4a84d018c1740223fcfdaa31017"/>
    <w:p>
      <w:pPr>
        <w:pStyle w:val="Heading1"/>
      </w:pPr>
      <w:r>
        <w:t xml:space="preserve">Sales Report: Strategic Growth of Optometry Services in Myanmar Yangon (Q3 2023)</w:t>
      </w:r>
    </w:p>
    <w:p>
      <w:pPr>
        <w:pStyle w:val="FirstParagraph"/>
      </w:pPr>
      <w:r>
        <w:rPr>
          <w:bCs/>
          <w:b/>
        </w:rPr>
        <w:t xml:space="preserve">Executive Summary:</w:t>
      </w:r>
      <w:r>
        <w:t xml:space="preserve"> </w:t>
      </w:r>
      <w:r>
        <w:t xml:space="preserve">This report details the performance and strategic positioning of optometry services within Myanmar's largest urban center, Yangon. The market demonstrates robust growth potential driven by rising awareness of eye health, increasing digital device usage, and a growing middle class. Our network of Optometrists in Yangon has achieved a 25% year-over-year increase in patient consultations and a 32% uplift in high-margin lens sales during Q3 2023, solidifying Yangon as the critical engine for vision care expansion across Myanmar.</w:t>
      </w:r>
    </w:p>
    <w:bookmarkStart w:id="20" w:name="X31aaaef09eb349458c7560905a61941aa2bb58d"/>
    <w:p>
      <w:pPr>
        <w:pStyle w:val="Heading2"/>
      </w:pPr>
      <w:r>
        <w:t xml:space="preserve">Market Context: Optometrist Demand in Yangon</w:t>
      </w:r>
    </w:p>
    <w:p>
      <w:pPr>
        <w:pStyle w:val="FirstParagraph"/>
      </w:pPr>
      <w:r>
        <w:t xml:space="preserve">Yangon, Myanmar's economic hub and most populous city, presents a unique opportunity for optometric services. With over 8 million residents and rapid urbanization, eye care demand is surging. Key factors driving this include:</w:t>
      </w:r>
    </w:p>
    <w:p>
      <w:pPr>
        <w:numPr>
          <w:ilvl w:val="0"/>
          <w:numId w:val="1001"/>
        </w:numPr>
        <w:pStyle w:val="Compact"/>
      </w:pPr>
      <w:r>
        <w:rPr>
          <w:bCs/>
          <w:b/>
        </w:rPr>
        <w:t xml:space="preserve">High Prevalence of Preventable Vision Loss:</w:t>
      </w:r>
      <w:r>
        <w:t xml:space="preserve"> </w:t>
      </w:r>
      <w:r>
        <w:t xml:space="preserve">The Myanmar Ministry of Health reports that cataracts and refractive errors account for over 60% of avoidable blindness in Yangon. This creates a massive untapped market for proactive optometry services.</w:t>
      </w:r>
    </w:p>
    <w:p>
      <w:pPr>
        <w:numPr>
          <w:ilvl w:val="0"/>
          <w:numId w:val="1001"/>
        </w:numPr>
        <w:pStyle w:val="Compact"/>
      </w:pPr>
      <w:r>
        <w:rPr>
          <w:bCs/>
          <w:b/>
        </w:rPr>
        <w:t xml:space="preserve">Digital Eye Strain Epidemic:</w:t>
      </w:r>
      <w:r>
        <w:t xml:space="preserve"> </w:t>
      </w:r>
      <w:r>
        <w:t xml:space="preserve">With smartphone penetration exceeding 85% in Yangon's urban centers, prolonged screen use is causing significant increases in myopia among youth and digital eye strain across office workers. Optometrists are uniquely positioned to address this emerging health concern.</w:t>
      </w:r>
    </w:p>
    <w:p>
      <w:pPr>
        <w:numPr>
          <w:ilvl w:val="0"/>
          <w:numId w:val="1001"/>
        </w:numPr>
        <w:pStyle w:val="Compact"/>
      </w:pPr>
      <w:r>
        <w:rPr>
          <w:bCs/>
          <w:b/>
        </w:rPr>
        <w:t xml:space="preserve">Increasing Health Consciousness:</w:t>
      </w:r>
      <w:r>
        <w:t xml:space="preserve"> </w:t>
      </w:r>
      <w:r>
        <w:t xml:space="preserve">Rising disposable income, particularly among the Yangon middle class (estimated 40% of the population), correlates with greater willingness to invest in regular eye exams and premium vision solutions.</w:t>
      </w:r>
    </w:p>
    <w:bookmarkEnd w:id="20"/>
    <w:bookmarkStart w:id="21" w:name="Xd133e1d77e309f532aa5e8fa67000c7a83c457b"/>
    <w:p>
      <w:pPr>
        <w:pStyle w:val="Heading2"/>
      </w:pPr>
      <w:r>
        <w:t xml:space="preserve">Q3 2023 Sales Performance: Yangon Optometrist Network</w:t>
      </w:r>
    </w:p>
    <w:p>
      <w:pPr>
        <w:pStyle w:val="FirstParagraph"/>
      </w:pPr>
      <w:r>
        <w:t xml:space="preserve">Our strategic focus on expanding our Optometrist network across key Yangon districts (Mingaladon, Bahan, Hlaing Tharyar) yielded significant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Total Optometry Consultations (Yangon)</w:t>
            </w:r>
          </w:p>
        </w:tc>
        <w:tc>
          <w:tcPr/>
          <w:p>
            <w:pPr>
              <w:pStyle w:val="Compact"/>
              <w:jc w:val="left"/>
            </w:pPr>
            <w:r>
              <w:t xml:space="preserve">18,500</w:t>
            </w:r>
          </w:p>
        </w:tc>
        <w:tc>
          <w:tcPr/>
          <w:p>
            <w:pPr>
              <w:pStyle w:val="Compact"/>
              <w:jc w:val="left"/>
            </w:pPr>
            <w:r>
              <w:t xml:space="preserve">14,950</w:t>
            </w:r>
          </w:p>
        </w:tc>
        <w:tc>
          <w:tcPr/>
          <w:p>
            <w:pPr>
              <w:pStyle w:val="Compact"/>
              <w:jc w:val="left"/>
            </w:pPr>
            <w:r>
              <w:t xml:space="preserve">+25.3%</w:t>
            </w:r>
          </w:p>
        </w:tc>
      </w:tr>
      <w:tr>
        <w:tc>
          <w:tcPr/>
          <w:p>
            <w:pPr>
              <w:pStyle w:val="Compact"/>
              <w:jc w:val="left"/>
            </w:pPr>
            <w:r>
              <w:t xml:space="preserve">Premium Lens Sales (Yangon)</w:t>
            </w:r>
          </w:p>
        </w:tc>
        <w:tc>
          <w:tcPr/>
          <w:p>
            <w:pPr>
              <w:pStyle w:val="Compact"/>
              <w:jc w:val="left"/>
            </w:pPr>
            <w:r>
              <w:t xml:space="preserve">6,200 units</w:t>
            </w:r>
          </w:p>
        </w:tc>
        <w:tc>
          <w:tcPr/>
          <w:p>
            <w:pPr>
              <w:pStyle w:val="Compact"/>
              <w:jc w:val="left"/>
            </w:pPr>
            <w:r>
              <w:t xml:space="preserve">4,685 units</w:t>
            </w:r>
          </w:p>
        </w:tc>
        <w:tc>
          <w:tcPr/>
          <w:p>
            <w:pPr>
              <w:pStyle w:val="Compact"/>
              <w:jc w:val="left"/>
            </w:pPr>
            <w:r>
              <w:t xml:space="preserve">+32.4%</w:t>
            </w:r>
          </w:p>
        </w:tc>
      </w:tr>
      <w:tr>
        <w:tc>
          <w:tcPr/>
          <w:p>
            <w:pPr>
              <w:pStyle w:val="Compact"/>
              <w:jc w:val="left"/>
            </w:pPr>
            <w:r>
              <w:t xml:space="preserve">New Patient Acquisition (Yangon)</w:t>
            </w:r>
          </w:p>
        </w:tc>
        <w:tc>
          <w:tcPr/>
          <w:p>
            <w:pPr>
              <w:pStyle w:val="Compact"/>
              <w:jc w:val="left"/>
            </w:pPr>
            <w:r>
              <w:t xml:space="preserve">5,120</w:t>
            </w:r>
          </w:p>
        </w:tc>
        <w:tc>
          <w:tcPr/>
          <w:p>
            <w:pPr>
              <w:pStyle w:val="Compact"/>
              <w:jc w:val="left"/>
            </w:pPr>
            <w:r>
              <w:t xml:space="preserve">3,970</w:t>
            </w:r>
          </w:p>
        </w:tc>
        <w:tc>
          <w:tcPr/>
          <w:p>
            <w:pPr>
              <w:pStyle w:val="Compact"/>
              <w:jc w:val="left"/>
            </w:pPr>
            <w:r>
              <w:t xml:space="preserve">+28.9%</w:t>
            </w:r>
          </w:p>
        </w:tc>
      </w:tr>
      <w:tr>
        <w:tc>
          <w:tcPr/>
          <w:p>
            <w:pPr>
              <w:pStyle w:val="Compact"/>
              <w:jc w:val="left"/>
            </w:pPr>
            <w:r>
              <w:t xml:space="preserve">Average Revenue per Consultation (Yangon)</w:t>
            </w:r>
          </w:p>
        </w:tc>
        <w:tc>
          <w:tcPr/>
          <w:p>
            <w:pPr>
              <w:pStyle w:val="Compact"/>
              <w:jc w:val="left"/>
            </w:pPr>
            <w:r>
              <w:t xml:space="preserve">MYR 185</w:t>
            </w:r>
          </w:p>
        </w:tc>
        <w:tc>
          <w:tcPr/>
          <w:p>
            <w:pPr>
              <w:pStyle w:val="Compact"/>
              <w:jc w:val="left"/>
            </w:pPr>
            <w:r>
              <w:t xml:space="preserve">MYR 165</w:t>
            </w:r>
          </w:p>
        </w:tc>
        <w:tc>
          <w:tcPr/>
          <w:p>
            <w:pPr>
              <w:pStyle w:val="Compact"/>
              <w:jc w:val="left"/>
            </w:pPr>
            <w:r>
              <w:t xml:space="preserve">+12.1%</w:t>
            </w:r>
          </w:p>
        </w:tc>
      </w:tr>
    </w:tbl>
    <w:p>
      <w:pPr>
        <w:pStyle w:val="BodyText"/>
      </w:pPr>
      <w:r>
        <w:t xml:space="preserve">The consistent growth across all metrics confirms Yangon's position as the cornerstone of our Myanmar sales strategy. Notably, premium lens sales surged due to targeted marketing campaigns highlighting UV protection and blue-light filtering – essential for Yangon residents exposed to intense tropical sunlight and pervasive digital screens.</w:t>
      </w:r>
    </w:p>
    <w:bookmarkEnd w:id="21"/>
    <w:bookmarkStart w:id="22" w:name="Xf316442962b0406a21966a148ecda80dc69ed41"/>
    <w:p>
      <w:pPr>
        <w:pStyle w:val="Heading2"/>
      </w:pPr>
      <w:r>
        <w:t xml:space="preserve">Strategic Initiatives Driving Success in Yangon</w:t>
      </w:r>
    </w:p>
    <w:p>
      <w:pPr>
        <w:pStyle w:val="FirstParagraph"/>
      </w:pPr>
      <w:r>
        <w:t xml:space="preserve">Our success in Myanmar's Yangon market stems from localized strategies tailored to urban eye care needs:</w:t>
      </w:r>
    </w:p>
    <w:p>
      <w:pPr>
        <w:numPr>
          <w:ilvl w:val="0"/>
          <w:numId w:val="1002"/>
        </w:numPr>
        <w:pStyle w:val="Compact"/>
      </w:pPr>
      <w:r>
        <w:rPr>
          <w:bCs/>
          <w:b/>
        </w:rPr>
        <w:t xml:space="preserve">Community Health Outreach Programs:</w:t>
      </w:r>
      <w:r>
        <w:t xml:space="preserve"> </w:t>
      </w:r>
      <w:r>
        <w:t xml:space="preserve">Partnering with local clinics and community centers across Yangon, our Optometrists conducted free screenings during the monsoon season (high risk for infections), generating 1,200 qualified leads. This built significant trust within neighborhoods like Kamayut and Sanchaung.</w:t>
      </w:r>
    </w:p>
    <w:p>
      <w:pPr>
        <w:numPr>
          <w:ilvl w:val="0"/>
          <w:numId w:val="1002"/>
        </w:numPr>
        <w:pStyle w:val="Compact"/>
      </w:pPr>
      <w:r>
        <w:rPr>
          <w:bCs/>
          <w:b/>
        </w:rPr>
        <w:t xml:space="preserve">Corporate Partnership Expansion:</w:t>
      </w:r>
      <w:r>
        <w:t xml:space="preserve"> </w:t>
      </w:r>
      <w:r>
        <w:t xml:space="preserve">Securing contracts with major Yangon-based IT firms (e.g., in the Inya Lake and Thilawa zones) for employee eye care packages boosted recurring revenue by 18%.</w:t>
      </w:r>
    </w:p>
    <w:p>
      <w:pPr>
        <w:numPr>
          <w:ilvl w:val="0"/>
          <w:numId w:val="1002"/>
        </w:numPr>
        <w:pStyle w:val="Compact"/>
      </w:pPr>
      <w:r>
        <w:rPr>
          <w:bCs/>
          <w:b/>
        </w:rPr>
        <w:t xml:space="preserve">Digital Patient Engagement:</w:t>
      </w:r>
      <w:r>
        <w:t xml:space="preserve"> </w:t>
      </w:r>
      <w:r>
        <w:t xml:space="preserve">Launching a Myanmar-specific WhatsApp consultation service allowed Yangon patients to schedule appointments easily, reducing no-show rates by 22% and increasing accessibility in a city where transportation can be challenging.</w:t>
      </w:r>
    </w:p>
    <w:bookmarkEnd w:id="22"/>
    <w:bookmarkStart w:id="23" w:name="Xf287f9066c0c0b69f9ae345588b64f12f223e09"/>
    <w:p>
      <w:pPr>
        <w:pStyle w:val="Heading2"/>
      </w:pPr>
      <w:r>
        <w:t xml:space="preserve">Challenges &amp; Opportunities Specific to Myanmar Yangon</w:t>
      </w:r>
    </w:p>
    <w:p>
      <w:pPr>
        <w:pStyle w:val="FirstParagraph"/>
      </w:pPr>
      <w:r>
        <w:t xml:space="preserve">While the outlook is strong, challenges require nuanced solutions within Yangon's unique environment:</w:t>
      </w:r>
    </w:p>
    <w:p>
      <w:pPr>
        <w:numPr>
          <w:ilvl w:val="0"/>
          <w:numId w:val="1003"/>
        </w:numPr>
        <w:pStyle w:val="Compact"/>
      </w:pPr>
      <w:r>
        <w:rPr>
          <w:bCs/>
          <w:b/>
        </w:rPr>
        <w:t xml:space="preserve">Clinic Location Constraints:</w:t>
      </w:r>
      <w:r>
        <w:t xml:space="preserve"> </w:t>
      </w:r>
      <w:r>
        <w:t xml:space="preserve">High rental costs in central Yangon districts necessitate strategic placement of new Optometrist practices. We are prioritizing areas with high foot traffic and proximity to residential clusters (e.g., near Sule Pagoda or Central Market) for optimal patient access.</w:t>
      </w:r>
    </w:p>
    <w:p>
      <w:pPr>
        <w:numPr>
          <w:ilvl w:val="0"/>
          <w:numId w:val="1003"/>
        </w:numPr>
        <w:pStyle w:val="Compact"/>
      </w:pPr>
      <w:r>
        <w:rPr>
          <w:bCs/>
          <w:b/>
        </w:rPr>
        <w:t xml:space="preserve">Perception of Cost:</w:t>
      </w:r>
      <w:r>
        <w:t xml:space="preserve"> </w:t>
      </w:r>
      <w:r>
        <w:t xml:space="preserve">Initial resistance to premium eye care is overcome through educational campaigns demonstrating the long-term cost savings of preventive optometry versus emergency treatments. Yangon-based Optometrists now routinely explain this during consultations.</w:t>
      </w:r>
    </w:p>
    <w:p>
      <w:pPr>
        <w:numPr>
          <w:ilvl w:val="0"/>
          <w:numId w:val="1003"/>
        </w:numPr>
        <w:pStyle w:val="Compact"/>
      </w:pPr>
      <w:r>
        <w:rPr>
          <w:bCs/>
          <w:b/>
        </w:rPr>
        <w:t xml:space="preserve">Supply Chain for Specialized Equipment:</w:t>
      </w:r>
      <w:r>
        <w:t xml:space="preserve"> </w:t>
      </w:r>
      <w:r>
        <w:t xml:space="preserve">Reliable supply of advanced diagnostic tools (e.g., retinal scanners) remains a challenge. Partnering with local distributors in Yangon's industrial zones has reduced lead times by 35% and ensures consistent equipment availability for our Optometrists.</w:t>
      </w:r>
    </w:p>
    <w:bookmarkEnd w:id="23"/>
    <w:bookmarkStart w:id="24" w:name="Xca33c7ef6331abf97b1a3861608d7acb5f381da"/>
    <w:p>
      <w:pPr>
        <w:pStyle w:val="Heading2"/>
      </w:pPr>
      <w:r>
        <w:t xml:space="preserve">The Future: Scaling the Optometrist Model Across Myanmar Yangon</w:t>
      </w:r>
    </w:p>
    <w:p>
      <w:pPr>
        <w:pStyle w:val="FirstParagraph"/>
      </w:pPr>
      <w:r>
        <w:t xml:space="preserve">Yangon represents not just a current market, but the blueprint for nationwide vision care growth in Myanmar. Our 2024 strategy focuses on:</w:t>
      </w:r>
    </w:p>
    <w:p>
      <w:pPr>
        <w:numPr>
          <w:ilvl w:val="0"/>
          <w:numId w:val="1004"/>
        </w:numPr>
        <w:pStyle w:val="Compact"/>
      </w:pPr>
      <w:r>
        <w:rPr>
          <w:bCs/>
          <w:b/>
        </w:rPr>
        <w:t xml:space="preserve">Opening 3 New Optometrist Clinics:</w:t>
      </w:r>
      <w:r>
        <w:t xml:space="preserve"> </w:t>
      </w:r>
      <w:r>
        <w:t xml:space="preserve">Targeting underserved Yangon districts like Thingyan and Tamwe to capture new patient segments.</w:t>
      </w:r>
    </w:p>
    <w:p>
      <w:pPr>
        <w:numPr>
          <w:ilvl w:val="0"/>
          <w:numId w:val="1004"/>
        </w:numPr>
        <w:pStyle w:val="Compact"/>
      </w:pPr>
      <w:r>
        <w:rPr>
          <w:bCs/>
          <w:b/>
        </w:rPr>
        <w:t xml:space="preserve">Enhanced Referral Network with Ophthalmologists:</w:t>
      </w:r>
      <w:r>
        <w:t xml:space="preserve"> </w:t>
      </w:r>
      <w:r>
        <w:t xml:space="preserve">Strengthening partnerships with major eye hospitals in Yangon (e.g., Myanmar Eye Care Hospital, Yangon Region Eye Hospital) to streamline patient pathways for complex cases, increasing Optometrist credibility and case volume.</w:t>
      </w:r>
    </w:p>
    <w:p>
      <w:pPr>
        <w:numPr>
          <w:ilvl w:val="0"/>
          <w:numId w:val="1004"/>
        </w:numPr>
        <w:pStyle w:val="Compact"/>
      </w:pPr>
      <w:r>
        <w:rPr>
          <w:bCs/>
          <w:b/>
        </w:rPr>
        <w:t xml:space="preserve">Multilingual Patient Support:</w:t>
      </w:r>
      <w:r>
        <w:t xml:space="preserve"> </w:t>
      </w:r>
      <w:r>
        <w:t xml:space="preserve">Training Yangon-based Optometrists to provide services in Burmese and English, catering to both local residents and the international business community – a key differentiator in Yangon's cosmopolitan environment.</w:t>
      </w:r>
    </w:p>
    <w:bookmarkEnd w:id="24"/>
    <w:bookmarkStart w:id="25" w:name="conclusion"/>
    <w:p>
      <w:pPr>
        <w:pStyle w:val="Heading2"/>
      </w:pPr>
      <w:r>
        <w:t xml:space="preserve">Conclusion</w:t>
      </w:r>
    </w:p>
    <w:p>
      <w:pPr>
        <w:pStyle w:val="FirstParagraph"/>
      </w:pPr>
      <w:r>
        <w:t xml:space="preserve">The Q3 2023 Sales Report underscores the critical role of Optometrists as catalysts for vision care growth within Myanmar Yangon. The city's dynamic market, characterized by high demand, strategic opportunities for expansion, and a growing health-conscious population, makes it an indispensable focus for our national strategy. Our Optometrist network has proven its ability to deliver both strong financial returns (32% premium lens sales growth) and significant public health impact in Yangon. Sustained investment in this market – through clinic expansion, community engagement, and localized service models – will position us as the leading vision care provider throughout Myanmar. The success achieved by Optometrists across Yangon is not merely a regional win; it is the foundation for transforming eye care accessibility nationwide.</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Myanmar Yangon Market Analysis</dc:title>
  <dc:creator/>
  <dc:language>en</dc:language>
  <cp:keywords/>
  <dcterms:created xsi:type="dcterms:W3CDTF">2026-07-20T23:14:43Z</dcterms:created>
  <dcterms:modified xsi:type="dcterms:W3CDTF">2026-07-20T23:14:43Z</dcterms:modified>
</cp:coreProperties>
</file>

<file path=docProps/custom.xml><?xml version="1.0" encoding="utf-8"?>
<Properties xmlns="http://schemas.openxmlformats.org/officeDocument/2006/custom-properties" xmlns:vt="http://schemas.openxmlformats.org/officeDocument/2006/docPropsVTypes"/>
</file>