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Performance</w:t>
      </w:r>
      <w:r>
        <w:t xml:space="preserve"> </w:t>
      </w:r>
      <w:r>
        <w:t xml:space="preserve">Report:</w:t>
      </w:r>
      <w:r>
        <w:t xml:space="preserve"> </w:t>
      </w:r>
      <w:r>
        <w:t xml:space="preserve">New</w:t>
      </w:r>
      <w:r>
        <w:t xml:space="preserve"> </w:t>
      </w:r>
      <w:r>
        <w:t xml:space="preserve">Zealand</w:t>
      </w:r>
      <w:r>
        <w:t xml:space="preserve"> </w:t>
      </w:r>
      <w:r>
        <w:t xml:space="preserve">Auckland</w:t>
      </w:r>
    </w:p>
    <w:bookmarkStart w:id="28" w:name="X7fbdfff1a39212c4450950e59f8b692aa1728d4"/>
    <w:p>
      <w:pPr>
        <w:pStyle w:val="Heading1"/>
      </w:pPr>
      <w:r>
        <w:t xml:space="preserve">Sales Report: Comprehensive Optometry Practice Performance Analysis – New Zealand Auckland Market</w:t>
      </w:r>
    </w:p>
    <w:bookmarkStart w:id="20" w:name="executive-summary"/>
    <w:p>
      <w:pPr>
        <w:pStyle w:val="Heading2"/>
      </w:pPr>
      <w:r>
        <w:t xml:space="preserve">Executive Summary</w:t>
      </w:r>
    </w:p>
    <w:p>
      <w:pPr>
        <w:pStyle w:val="FirstParagraph"/>
      </w:pPr>
      <w:r>
        <w:t xml:space="preserve">This Sales Report details the operational and financial performance of our optometry practice within the competitive healthcare landscape of New Zealand Auckland. Covering the period from January 1st to December 31st, 2023, this document provides critical insights into patient acquisition, service revenue streams, market positioning, and strategic opportunities specific to our Auckland-based Optometrist practice. As New Zealand's most populous city with over 1.6 million residents and a rapidly aging demographic profile, Auckland presents unique challenges and growth potential for optometric services. The report confirms a 28% year-on-year increase in revenue, driven by expanded community health partnerships and culturally responsive care delivery across Auckland regions.</w:t>
      </w:r>
    </w:p>
    <w:bookmarkEnd w:id="20"/>
    <w:bookmarkStart w:id="21" w:name="X45d035f8d6a02729d5d06ef313c6177823ad94f"/>
    <w:p>
      <w:pPr>
        <w:pStyle w:val="Heading2"/>
      </w:pPr>
      <w:r>
        <w:t xml:space="preserve">Market Context: Optometry Demand in New Zealand Auckland</w:t>
      </w:r>
    </w:p>
    <w:p>
      <w:pPr>
        <w:pStyle w:val="FirstParagraph"/>
      </w:pPr>
      <w:r>
        <w:t xml:space="preserve">New Zealand's optometry sector operates under the strict regulatory framework of the Opticians Act 1933, requiring all practitioners to be registered with the New Zealand Opticians Board. In Auckland – where 36% of New Zealand’s population resides – demand for eye care services has intensified due to urbanization, increased screen time, and a growing Māori and Pasifika community with higher prevalence rates of diabetic retinopathy. Our Auckland-based Optometrist practice serves as a critical healthcare hub in the North Shore, Manukau, and Downtown districts, addressing both routine vision correction needs (54% of visits) and chronic disease management (27% of visits). The 2023 Auckland Health Survey confirmed that 68% of residents require regular eye examinations – significantly higher than the national average due to environmental factors like high UV exposure and coastal haze.</w:t>
      </w:r>
    </w:p>
    <w:bookmarkEnd w:id="21"/>
    <w:bookmarkStart w:id="22" w:name="financial-performance-sales-metrics"/>
    <w:p>
      <w:pPr>
        <w:pStyle w:val="Heading2"/>
      </w:pPr>
      <w:r>
        <w:t xml:space="preserve">Financial Performance &amp; Sales Metrics</w:t>
      </w:r>
    </w:p>
    <w:p>
      <w:pPr>
        <w:pStyle w:val="FirstParagraph"/>
      </w:pPr>
      <w:r>
        <w:t xml:space="preserve">The following table summarizes key sales indicators for our New Zealand Auckland practice:</w:t>
      </w:r>
    </w:p>
    <w:p>
      <w:pPr>
        <w:pStyle w:val="BodyText"/>
      </w:pPr>
      <w:r>
        <w:t xml:space="preserve">Service Category</w:t>
      </w:r>
    </w:p>
    <w:p>
      <w:pPr>
        <w:pStyle w:val="BodyText"/>
      </w:pPr>
      <w:r>
        <w:t xml:space="preserve">2022 Revenue (NZD)</w:t>
      </w:r>
    </w:p>
    <w:p>
      <w:pPr>
        <w:pStyle w:val="BodyText"/>
      </w:pPr>
      <w:r>
        <w:t xml:space="preserve">2023 Revenue (NZD)</w:t>
      </w:r>
    </w:p>
    <w:p>
      <w:pPr>
        <w:pStyle w:val="BodyText"/>
      </w:pPr>
      <w:r>
        <w:t xml:space="preserve">% Change</w:t>
      </w:r>
    </w:p>
    <w:p>
      <w:pPr>
        <w:pStyle w:val="BodyText"/>
      </w:pPr>
      <w:r>
        <w:t xml:space="preserve">Comprehensive Eye Exams</w:t>
      </w:r>
    </w:p>
    <w:p>
      <w:pPr>
        <w:pStyle w:val="BodyText"/>
      </w:pPr>
      <w:r>
        <w:t xml:space="preserve">$148,500</w:t>
      </w:r>
    </w:p>
    <w:p>
      <w:pPr>
        <w:pStyle w:val="BodyText"/>
      </w:pPr>
      <w:r>
        <w:t xml:space="preserve">$194,800</w:t>
      </w:r>
    </w:p>
    <w:p>
      <w:pPr>
        <w:pStyle w:val="BodyText"/>
      </w:pPr>
      <w:r>
        <w:t xml:space="preserve">+31.2%</w:t>
      </w:r>
    </w:p>
    <w:p>
      <w:pPr>
        <w:pStyle w:val="BodyText"/>
      </w:pPr>
      <w:r>
        <w:t xml:space="preserve">Spectacle Lenses &amp; Frames</w:t>
      </w:r>
    </w:p>
    <w:p>
      <w:pPr>
        <w:pStyle w:val="BodyText"/>
      </w:pPr>
      <w:r>
        <w:t xml:space="preserve">$227,300</w:t>
      </w:r>
    </w:p>
    <w:p>
      <w:pPr>
        <w:pStyle w:val="BodyText"/>
      </w:pPr>
      <w:r>
        <w:t xml:space="preserve">$285,600</w:t>
      </w:r>
    </w:p>
    <w:p>
      <w:pPr>
        <w:pStyle w:val="BodyText"/>
      </w:pPr>
      <w:r>
        <w:t xml:space="preserve">+25.7%</w:t>
      </w:r>
    </w:p>
    <w:p>
      <w:pPr>
        <w:pStyle w:val="BodyText"/>
      </w:pPr>
      <w:r>
        <w:t xml:space="preserve">Total Revenue</w:t>
      </w:r>
    </w:p>
    <w:p>
      <w:pPr>
        <w:pStyle w:val="BodyText"/>
      </w:pPr>
      <w:r>
        <w:t xml:space="preserve">$438,619</w:t>
      </w:r>
    </w:p>
    <w:p>
      <w:pPr>
        <w:pStyle w:val="BodyText"/>
      </w:pPr>
      <w:r>
        <w:t xml:space="preserve">$518,947</w:t>
      </w:r>
    </w:p>
    <w:p>
      <w:pPr>
        <w:pStyle w:val="BodyText"/>
      </w:pPr>
      <w:r>
        <w:t xml:space="preserve">+18.3%</w:t>
      </w:r>
    </w:p>
    <w:p>
      <w:pPr>
        <w:pStyle w:val="BodyText"/>
      </w:pPr>
      <w:r>
        <w:t xml:space="preserve">The 2023 growth trajectory significantly outperformed the Auckland optometry sector average of 12.7%, attributed to our strategic focus on high-value services such as digital retinal imaging (up 45% YoY) and contact lens specialty fittings for progressive myopia management – a critical need in New Zealand where childhood myopia rates have doubled since 2010. Notably, our partnership with Auckland District Health Board (ADHB) for diabetes screening resulted in 87 new patient acquisitions through public health referrals.</w:t>
      </w:r>
    </w:p>
    <w:bookmarkEnd w:id="22"/>
    <w:bookmarkStart w:id="23" w:name="X135ca96c57130dc33e0b244151be2027e03b1a6"/>
    <w:p>
      <w:pPr>
        <w:pStyle w:val="Heading2"/>
      </w:pPr>
      <w:r>
        <w:t xml:space="preserve">Service Performance Analysis by Auckland Region</w:t>
      </w:r>
    </w:p>
    <w:p>
      <w:pPr>
        <w:pStyle w:val="FirstParagraph"/>
      </w:pPr>
      <w:r>
        <w:t xml:space="preserve">Geographic analysis reveals distinct performance patterns across New Zealand Auckland:</w:t>
      </w:r>
    </w:p>
    <w:p>
      <w:pPr>
        <w:numPr>
          <w:ilvl w:val="0"/>
          <w:numId w:val="1001"/>
        </w:numPr>
        <w:pStyle w:val="Compact"/>
      </w:pPr>
      <w:r>
        <w:rPr>
          <w:bCs/>
          <w:b/>
        </w:rPr>
        <w:t xml:space="preserve">North Shore (Waitakere):</w:t>
      </w:r>
      <w:r>
        <w:t xml:space="preserve"> </w:t>
      </w:r>
      <w:r>
        <w:t xml:space="preserve">38% of total revenue, driven by high demand for sports vision correction and occupational eye exams. Our practice became the preferred provider for 12 major corporations in this business corridor.</w:t>
      </w:r>
    </w:p>
    <w:p>
      <w:pPr>
        <w:numPr>
          <w:ilvl w:val="0"/>
          <w:numId w:val="1001"/>
        </w:numPr>
        <w:pStyle w:val="Compact"/>
      </w:pPr>
      <w:r>
        <w:rPr>
          <w:bCs/>
          <w:b/>
        </w:rPr>
        <w:t xml:space="preserve">Manukau City:</w:t>
      </w:r>
      <w:r>
        <w:t xml:space="preserve"> </w:t>
      </w:r>
      <w:r>
        <w:t xml:space="preserve">32% revenue share, reflecting strong growth (41%) in Māori health initiatives. Collaborating with Te Aka Whai Ora (Māori Health Authority), we implemented culturally safe consultation protocols that increased retention by 29% among Pasifika patients.</w:t>
      </w:r>
    </w:p>
    <w:p>
      <w:pPr>
        <w:numPr>
          <w:ilvl w:val="0"/>
          <w:numId w:val="1001"/>
        </w:numPr>
        <w:pStyle w:val="Compact"/>
      </w:pPr>
      <w:r>
        <w:rPr>
          <w:bCs/>
          <w:b/>
        </w:rPr>
        <w:t xml:space="preserve">Downtown Auckland:</w:t>
      </w:r>
      <w:r>
        <w:t xml:space="preserve"> </w:t>
      </w:r>
      <w:r>
        <w:t xml:space="preserve">23% revenue, dominated by premium lens services for professionals. The introduction of UV-protective smart lenses saw a 65% uptake in this segment during the summer months.</w:t>
      </w:r>
    </w:p>
    <w:bookmarkEnd w:id="23"/>
    <w:bookmarkStart w:id="24" w:name="X19e4d2a7ddaa7c2f1f91e273ea0c42575ba56d6"/>
    <w:p>
      <w:pPr>
        <w:pStyle w:val="Heading2"/>
      </w:pPr>
      <w:r>
        <w:t xml:space="preserve">Key Growth Drivers: New Zealand Optometrist Innovation</w:t>
      </w:r>
    </w:p>
    <w:p>
      <w:pPr>
        <w:pStyle w:val="FirstParagraph"/>
      </w:pPr>
      <w:r>
        <w:t xml:space="preserve">The success of our Auckland-based Optometrist practice stems from three strategic pillars:</w:t>
      </w:r>
    </w:p>
    <w:p>
      <w:pPr>
        <w:numPr>
          <w:ilvl w:val="0"/>
          <w:numId w:val="1002"/>
        </w:numPr>
        <w:pStyle w:val="Compact"/>
      </w:pPr>
      <w:r>
        <w:rPr>
          <w:bCs/>
          <w:b/>
        </w:rPr>
        <w:t xml:space="preserve">Clinical Specialization:</w:t>
      </w:r>
      <w:r>
        <w:t xml:space="preserve"> </w:t>
      </w:r>
      <w:r>
        <w:t xml:space="preserve">Launching a dedicated Pediatric Eye Care Unit in 2023, addressing the critical need for early intervention in Auckland’s child population (14.8% of residents are under 15). This generated $78,000 in new revenue within six months.</w:t>
      </w:r>
    </w:p>
    <w:p>
      <w:pPr>
        <w:numPr>
          <w:ilvl w:val="0"/>
          <w:numId w:val="1002"/>
        </w:numPr>
        <w:pStyle w:val="Compact"/>
      </w:pPr>
      <w:r>
        <w:rPr>
          <w:bCs/>
          <w:b/>
        </w:rPr>
        <w:t xml:space="preserve">Technology Integration:</w:t>
      </w:r>
      <w:r>
        <w:t xml:space="preserve"> </w:t>
      </w:r>
      <w:r>
        <w:t xml:space="preserve">Implementing Optometry-specific software compatible with New Zealand's National Health Index (NHI) system, reducing appointment no-shows by 22% and streamlining billing for public health funders.</w:t>
      </w:r>
    </w:p>
    <w:p>
      <w:pPr>
        <w:numPr>
          <w:ilvl w:val="0"/>
          <w:numId w:val="1002"/>
        </w:numPr>
        <w:pStyle w:val="Compact"/>
      </w:pPr>
      <w:r>
        <w:rPr>
          <w:bCs/>
          <w:b/>
        </w:rPr>
        <w:t xml:space="preserve">Community Partnership:</w:t>
      </w:r>
      <w:r>
        <w:t xml:space="preserve"> </w:t>
      </w:r>
      <w:r>
        <w:t xml:space="preserve">Formal agreements with Auckland Libraries for free eye screening events (17 locations across the city), resulting in 1,240 new patient leads – a 350% increase from previous outreach efforts.</w:t>
      </w:r>
    </w:p>
    <w:bookmarkEnd w:id="24"/>
    <w:bookmarkStart w:id="25" w:name="Xbc777fcf3157e93706e8f3aea175a3c3597fc81"/>
    <w:p>
      <w:pPr>
        <w:pStyle w:val="Heading2"/>
      </w:pPr>
      <w:r>
        <w:t xml:space="preserve">Challenges in New Zealand Auckland Market</w:t>
      </w:r>
    </w:p>
    <w:p>
      <w:pPr>
        <w:pStyle w:val="FirstParagraph"/>
      </w:pPr>
      <w:r>
        <w:t xml:space="preserve">Despite growth, significant challenges persist for our Optometrist practice in New Zealand's largest city:</w:t>
      </w:r>
    </w:p>
    <w:p>
      <w:pPr>
        <w:numPr>
          <w:ilvl w:val="0"/>
          <w:numId w:val="1003"/>
        </w:numPr>
        <w:pStyle w:val="Compact"/>
      </w:pPr>
      <w:r>
        <w:rPr>
          <w:bCs/>
          <w:b/>
        </w:rPr>
        <w:t xml:space="preserve">Workforce Shortages:</w:t>
      </w:r>
      <w:r>
        <w:t xml:space="preserve"> </w:t>
      </w:r>
      <w:r>
        <w:t xml:space="preserve">Auckland faces a 15% deficit of qualified optometrists compared to national recommendations, necessitating costly recruitment from overseas. This impacted our ability to scale during peak summer demand periods.</w:t>
      </w:r>
    </w:p>
    <w:p>
      <w:pPr>
        <w:numPr>
          <w:ilvl w:val="0"/>
          <w:numId w:val="1003"/>
        </w:numPr>
        <w:pStyle w:val="Compact"/>
      </w:pPr>
      <w:r>
        <w:rPr>
          <w:bCs/>
          <w:b/>
        </w:rPr>
        <w:t xml:space="preserve">Cost Inflation:</w:t>
      </w:r>
      <w:r>
        <w:t xml:space="preserve"> </w:t>
      </w:r>
      <w:r>
        <w:t xml:space="preserve">Rising costs for high-end lens materials (24% increase in 2023) and medical-grade equipment directly reduced profit margins on premium products by 18%.</w:t>
      </w:r>
    </w:p>
    <w:p>
      <w:pPr>
        <w:numPr>
          <w:ilvl w:val="0"/>
          <w:numId w:val="1003"/>
        </w:numPr>
        <w:pStyle w:val="Compact"/>
      </w:pPr>
      <w:r>
        <w:rPr>
          <w:bCs/>
          <w:b/>
        </w:rPr>
        <w:t xml:space="preserve">Cultural Accessibility:</w:t>
      </w:r>
      <w:r>
        <w:t xml:space="preserve"> </w:t>
      </w:r>
      <w:r>
        <w:t xml:space="preserve">Initial low uptake among Māori communities due to language barriers was mitigated only after hiring bilingual staff – highlighting the need for ongoing investment in culturally safe service models across New Zealand.</w:t>
      </w:r>
    </w:p>
    <w:bookmarkEnd w:id="25"/>
    <w:bookmarkStart w:id="26" w:name="X25209f07dc0d1c61add651d689c5d4e5d3fa8fa"/>
    <w:p>
      <w:pPr>
        <w:pStyle w:val="Heading2"/>
      </w:pPr>
      <w:r>
        <w:t xml:space="preserve">Strategic Recommendations for Future Sales Growth</w:t>
      </w:r>
    </w:p>
    <w:p>
      <w:pPr>
        <w:pStyle w:val="FirstParagraph"/>
      </w:pPr>
      <w:r>
        <w:t xml:space="preserve">To sustain momentum in the competitive New Zealand Auckland market, we recommend:</w:t>
      </w:r>
    </w:p>
    <w:p>
      <w:pPr>
        <w:numPr>
          <w:ilvl w:val="0"/>
          <w:numId w:val="1004"/>
        </w:numPr>
        <w:pStyle w:val="Compact"/>
      </w:pPr>
      <w:r>
        <w:rPr>
          <w:bCs/>
          <w:b/>
        </w:rPr>
        <w:t xml:space="preserve">Expand Telehealth Integration:</w:t>
      </w:r>
      <w:r>
        <w:t xml:space="preserve"> </w:t>
      </w:r>
      <w:r>
        <w:t xml:space="preserve">Pilot virtual consultations for routine follow-ups to capture underserved rural communities within the wider Auckland region (e.g., Rodney District), addressing geographic barriers to care.</w:t>
      </w:r>
    </w:p>
    <w:p>
      <w:pPr>
        <w:numPr>
          <w:ilvl w:val="0"/>
          <w:numId w:val="1004"/>
        </w:numPr>
        <w:pStyle w:val="Compact"/>
      </w:pPr>
      <w:r>
        <w:rPr>
          <w:bCs/>
          <w:b/>
        </w:rPr>
        <w:t xml:space="preserve">Develop a Pacific Islander Eye Health Program:</w:t>
      </w:r>
      <w:r>
        <w:t xml:space="preserve"> </w:t>
      </w:r>
      <w:r>
        <w:t xml:space="preserve">Collaborate with Tongan and Samoan community organizations to create targeted screening initiatives, leveraging high social trust networks observed in Auckland's Pasifika communities.</w:t>
      </w:r>
    </w:p>
    <w:p>
      <w:pPr>
        <w:numPr>
          <w:ilvl w:val="0"/>
          <w:numId w:val="1004"/>
        </w:numPr>
        <w:pStyle w:val="Compact"/>
      </w:pPr>
      <w:r>
        <w:rPr>
          <w:bCs/>
          <w:b/>
        </w:rPr>
        <w:t xml:space="preserve">Negotiate Direct Contracts with ACC:</w:t>
      </w:r>
      <w:r>
        <w:t xml:space="preserve"> </w:t>
      </w:r>
      <w:r>
        <w:t xml:space="preserve">Secure preferred provider status for sports eye injuries (ACC covers 45% of all New Zealand optometry claims), potentially increasing our patient base by 20-30% in this high-value segment.</w:t>
      </w:r>
    </w:p>
    <w:bookmarkEnd w:id="26"/>
    <w:bookmarkStart w:id="27" w:name="conclusion"/>
    <w:p>
      <w:pPr>
        <w:pStyle w:val="Heading2"/>
      </w:pPr>
      <w:r>
        <w:t xml:space="preserve">Conclusion</w:t>
      </w:r>
    </w:p>
    <w:p>
      <w:pPr>
        <w:pStyle w:val="FirstParagraph"/>
      </w:pPr>
      <w:r>
        <w:t xml:space="preserve">This Sales Report underscores the robust growth trajectory of our Auckland-based Optometrist practice within New Zealand's evolving healthcare ecosystem. By prioritizing culturally responsive care, leveraging technology for operational efficiency, and forming strategic community partnerships across diverse Auckland neighborhoods, we have established a sustainable model for revenue growth in one of New Zealand's most dynamic markets. As the demand for eye health services continues to rise across Auckland – particularly among aging populations and at-risk communities – our practice remains positioned as a leader in delivering accessible, high-quality optometric care. Future success will depend on deepening these community ties while navigating New Zealand’s healthcare regulatory landscape to ensure continued growth of our Optometrist business in Auckland.</w:t>
      </w:r>
    </w:p>
    <w:p>
      <w:pPr>
        <w:pStyle w:val="BodyText"/>
      </w:pPr>
      <w:r>
        <w:rPr>
          <w:iCs/>
          <w:i/>
        </w:rPr>
        <w:t xml:space="preserve">Report Prepared For: Auckland Optometry Group | Date: 15 March 2024 | Confidential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Performance Report: New Zealand Auckland</dc:title>
  <dc:creator/>
  <dc:language>en</dc:language>
  <cp:keywords/>
  <dcterms:created xsi:type="dcterms:W3CDTF">2026-07-24T13:43:19Z</dcterms:created>
  <dcterms:modified xsi:type="dcterms:W3CDTF">2026-07-24T13:43:19Z</dcterms:modified>
</cp:coreProperties>
</file>

<file path=docProps/custom.xml><?xml version="1.0" encoding="utf-8"?>
<Properties xmlns="http://schemas.openxmlformats.org/officeDocument/2006/custom-properties" xmlns:vt="http://schemas.openxmlformats.org/officeDocument/2006/docPropsVTypes"/>
</file>