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Wellington</w:t>
      </w:r>
      <w:r>
        <w:t xml:space="preserve"> </w:t>
      </w:r>
      <w:r>
        <w:t xml:space="preserve">Market</w:t>
      </w:r>
      <w:r>
        <w:t xml:space="preserve"> </w:t>
      </w:r>
      <w:r>
        <w:t xml:space="preserve">Analysis</w:t>
      </w:r>
    </w:p>
    <w:bookmarkStart w:id="28" w:name="X9d6c1a5d907d02545a9125eb8330247d344fab5"/>
    <w:p>
      <w:pPr>
        <w:pStyle w:val="Heading1"/>
      </w:pPr>
      <w:r>
        <w:t xml:space="preserve">Comprehensive Sales Report: Optometrist Practice Performance in New Zealand Wellington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Wellington Optometry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quarterly Sales Report details the performance of our optometrist practice network across New Zealand Wellington. Following a strategic expansion into inner-city locations including Te Aro and Newtown, we achieved a remarkable 18.7% year-over-year revenue growth, surpassing regional industry benchmarks by 5.2%. The report analyzes sales drivers, customer retention metrics, and market positioning within New Zealand's competitive optometry landscape. Critically, our commitment to personalized patient care combined with premium eyewear offerings has solidified our position as Wellington's preferred optometrist destination.</w:t>
      </w:r>
    </w:p>
    <w:bookmarkEnd w:id="20"/>
    <w:bookmarkStart w:id="21" w:name="ii.-key-sales-performance-metrics"/>
    <w:p>
      <w:pPr>
        <w:pStyle w:val="Heading2"/>
      </w:pPr>
      <w:r>
        <w:t xml:space="preserve">II. Key Sales Performance Metrics</w:t>
      </w:r>
    </w:p>
    <w:p>
      <w:pPr>
        <w:pStyle w:val="FirstParagraph"/>
      </w:pPr>
      <w:r>
        <w:rPr>
          <w:bCs/>
          <w:b/>
        </w:rPr>
        <w:t xml:space="preserve">Revenue Breakdown (Q3 2023):</w:t>
      </w:r>
    </w:p>
    <w:p>
      <w:pPr>
        <w:numPr>
          <w:ilvl w:val="0"/>
          <w:numId w:val="1001"/>
        </w:numPr>
        <w:pStyle w:val="Compact"/>
      </w:pPr>
      <w:r>
        <w:rPr>
          <w:bCs/>
          <w:b/>
        </w:rPr>
        <w:t xml:space="preserve">Optical Sales:</w:t>
      </w:r>
      <w:r>
        <w:t xml:space="preserve"> </w:t>
      </w:r>
      <w:r>
        <w:t xml:space="preserve">$148,500 (+24.1% YoY) – Dominated by premium frame collections and photochromic lenses</w:t>
      </w:r>
    </w:p>
    <w:p>
      <w:pPr>
        <w:numPr>
          <w:ilvl w:val="0"/>
          <w:numId w:val="1001"/>
        </w:numPr>
        <w:pStyle w:val="Compact"/>
      </w:pPr>
      <w:r>
        <w:rPr>
          <w:bCs/>
          <w:b/>
        </w:rPr>
        <w:t xml:space="preserve">Diagnostic Services:</w:t>
      </w:r>
      <w:r>
        <w:t xml:space="preserve"> </w:t>
      </w:r>
      <w:r>
        <w:t xml:space="preserve">$92,300 (+12.6% YoY) – Includes comprehensive eye exams and glaucoma screenings</w:t>
      </w:r>
    </w:p>
    <w:p>
      <w:pPr>
        <w:numPr>
          <w:ilvl w:val="0"/>
          <w:numId w:val="1001"/>
        </w:numPr>
        <w:pStyle w:val="Compact"/>
      </w:pPr>
      <w:r>
        <w:rPr>
          <w:bCs/>
          <w:b/>
        </w:rPr>
        <w:t xml:space="preserve">Contact Lens Sales:</w:t>
      </w:r>
      <w:r>
        <w:t xml:space="preserve"> </w:t>
      </w:r>
      <w:r>
        <w:t xml:space="preserve">$47,800 (+15.3% YoY) – Driven by specialty lenses for dry eye management</w:t>
      </w:r>
    </w:p>
    <w:p>
      <w:pPr>
        <w:numPr>
          <w:ilvl w:val="0"/>
          <w:numId w:val="1001"/>
        </w:numPr>
        <w:pStyle w:val="Compact"/>
      </w:pPr>
      <w:r>
        <w:rPr>
          <w:bCs/>
          <w:b/>
        </w:rPr>
        <w:t xml:space="preserve">Supplementary Products:</w:t>
      </w:r>
      <w:r>
        <w:t xml:space="preserve"> </w:t>
      </w:r>
      <w:r>
        <w:t xml:space="preserve">$28,600 (+31.4% YoY) – Includes eye drops and UV-protective wearables</w:t>
      </w:r>
    </w:p>
    <w:p>
      <w:pPr>
        <w:pStyle w:val="FirstParagraph"/>
      </w:pPr>
      <w:r>
        <w:t xml:space="preserve">The 24.1% surge in optical sales significantly outperforms the New Zealand national average of 9.7%, directly attributable to our Wellington-specific marketing strategy targeting young professionals (25-40 age group). This segment contributed 63% of all frame purchases during the quarter, with a strong preference for lightweight titanium and sustainable bamboo options.</w:t>
      </w:r>
    </w:p>
    <w:bookmarkEnd w:id="21"/>
    <w:bookmarkStart w:id="22" w:name="iii.-wellington-market-analysis"/>
    <w:p>
      <w:pPr>
        <w:pStyle w:val="Heading2"/>
      </w:pPr>
      <w:r>
        <w:t xml:space="preserve">III. Wellington Market Analysis</w:t>
      </w:r>
    </w:p>
    <w:p>
      <w:pPr>
        <w:pStyle w:val="FirstParagraph"/>
      </w:pPr>
      <w:r>
        <w:t xml:space="preserve">New Zealand Wellington presents unique opportunities within the optometrist sector due to its dense urban population (415,000 residents), high disposable income levels (median household income: $88,700 NZD), and strong health-conscious culture. Our practice has leveraged these factors through:</w:t>
      </w:r>
    </w:p>
    <w:p>
      <w:pPr>
        <w:numPr>
          <w:ilvl w:val="0"/>
          <w:numId w:val="1002"/>
        </w:numPr>
        <w:pStyle w:val="Compact"/>
      </w:pPr>
      <w:r>
        <w:rPr>
          <w:bCs/>
          <w:b/>
        </w:rPr>
        <w:t xml:space="preserve">Strategic Location Placement:</w:t>
      </w:r>
      <w:r>
        <w:t xml:space="preserve"> </w:t>
      </w:r>
      <w:r>
        <w:t xml:space="preserve">3 of our 5 Wellington clinics are situated within 500m of major corporate hubs (Wellington CBD, Pipitea, Thorndon)</w:t>
      </w:r>
    </w:p>
    <w:p>
      <w:pPr>
        <w:numPr>
          <w:ilvl w:val="0"/>
          <w:numId w:val="1002"/>
        </w:numPr>
        <w:pStyle w:val="Compact"/>
      </w:pPr>
      <w:r>
        <w:rPr>
          <w:bCs/>
          <w:b/>
        </w:rPr>
        <w:t xml:space="preserve">Cultural Relevance:</w:t>
      </w:r>
      <w:r>
        <w:t xml:space="preserve"> </w:t>
      </w:r>
      <w:r>
        <w:t xml:space="preserve">Collaborated with local Māori health providers to introduce culturally sensitive eye care packages</w:t>
      </w:r>
    </w:p>
    <w:p>
      <w:pPr>
        <w:numPr>
          <w:ilvl w:val="0"/>
          <w:numId w:val="1002"/>
        </w:numPr>
        <w:pStyle w:val="Compact"/>
      </w:pPr>
      <w:r>
        <w:rPr>
          <w:bCs/>
          <w:b/>
        </w:rPr>
        <w:t xml:space="preserve">Seasonal Adaptation:</w:t>
      </w:r>
      <w:r>
        <w:t xml:space="preserve"> </w:t>
      </w:r>
      <w:r>
        <w:t xml:space="preserve">Launched "Sun Smart" collection (UV400 sunglasses) during summer months, generating 12% of quarterly optical revenue</w:t>
      </w:r>
    </w:p>
    <w:p>
      <w:pPr>
        <w:pStyle w:val="FirstParagraph"/>
      </w:pPr>
      <w:r>
        <w:t xml:space="preserve">The New Zealand Optometric Association reports that Wellington leads the nation in annual eye exam rates (78.3% vs national average 65.1%), providing a fertile market for our optometrist services. Our practice's patient retention rate of 74% demonstrates strong customer loyalty, far exceeding the industry benchmark of 62%.</w:t>
      </w:r>
    </w:p>
    <w:bookmarkEnd w:id="22"/>
    <w:bookmarkStart w:id="23" w:name="X40db31816c7e48a00998c3cc09931b0eeb46b88"/>
    <w:p>
      <w:pPr>
        <w:pStyle w:val="Heading2"/>
      </w:pPr>
      <w:r>
        <w:t xml:space="preserve">IV. Customer Experience &amp; Sales Correlation</w:t>
      </w:r>
    </w:p>
    <w:p>
      <w:pPr>
        <w:pStyle w:val="FirstParagraph"/>
      </w:pPr>
      <w:r>
        <w:t xml:space="preserve">A post-visit survey of 387 Wellington patients revealed that 89% connected their purchase decision directly to the optometrist's personalized recommendations:</w:t>
      </w:r>
    </w:p>
    <w:p>
      <w:pPr>
        <w:numPr>
          <w:ilvl w:val="0"/>
          <w:numId w:val="1003"/>
        </w:numPr>
        <w:pStyle w:val="Compact"/>
      </w:pPr>
      <w:r>
        <w:rPr>
          <w:bCs/>
          <w:b/>
        </w:rPr>
        <w:t xml:space="preserve">Product Recommendations:</w:t>
      </w:r>
      <w:r>
        <w:t xml:space="preserve"> </w:t>
      </w:r>
      <w:r>
        <w:t xml:space="preserve">76% of eyewear buyers selected frames based on optometrist's technical advice (vs. 43% nationally)</w:t>
      </w:r>
    </w:p>
    <w:p>
      <w:pPr>
        <w:numPr>
          <w:ilvl w:val="0"/>
          <w:numId w:val="1003"/>
        </w:numPr>
        <w:pStyle w:val="Compact"/>
      </w:pPr>
      <w:r>
        <w:rPr>
          <w:bCs/>
          <w:b/>
        </w:rPr>
        <w:t xml:space="preserve">Follow-Up Care:</w:t>
      </w:r>
      <w:r>
        <w:t xml:space="preserve"> </w:t>
      </w:r>
      <w:r>
        <w:t xml:space="preserve">Patients who received post-purchase care instructions purchased additional products at 2.3x the rate</w:t>
      </w:r>
    </w:p>
    <w:p>
      <w:pPr>
        <w:pStyle w:val="FirstParagraph"/>
      </w:pPr>
      <w:r>
        <w:t xml:space="preserve">This data confirms that our optometrist-led service model drives higher sales conversions. For instance, patients receiving personalized lens recommendations for digital eye strain (common among Wellington's tech workforce) showed 41% higher accessory purchase rates.</w:t>
      </w:r>
    </w:p>
    <w:bookmarkEnd w:id="23"/>
    <w:bookmarkStart w:id="24" w:name="Xbbca08895c3bc4241fbb69e2b97f77e634f625a"/>
    <w:p>
      <w:pPr>
        <w:pStyle w:val="Heading2"/>
      </w:pPr>
      <w:r>
        <w:t xml:space="preserve">V. Competitive Positioning in New Zealand Wellington</w:t>
      </w:r>
    </w:p>
    <w:p>
      <w:pPr>
        <w:pStyle w:val="FirstParagraph"/>
      </w:pPr>
      <w:r>
        <w:t xml:space="preserve">Wellington's optometry market features intense competition from both national chains and independent clinics. Our differentiation strategy focuses on three pillars:</w:t>
      </w:r>
    </w:p>
    <w:p>
      <w:pPr>
        <w:numPr>
          <w:ilvl w:val="0"/>
          <w:numId w:val="1004"/>
        </w:numPr>
        <w:pStyle w:val="Compact"/>
      </w:pPr>
      <w:r>
        <w:rPr>
          <w:bCs/>
          <w:b/>
        </w:rPr>
        <w:t xml:space="preserve">Technology Integration:</w:t>
      </w:r>
      <w:r>
        <w:t xml:space="preserve"> </w:t>
      </w:r>
      <w:r>
        <w:t xml:space="preserve">Deployed AI-powered lens fitting systems at all Wellington locations – reducing appointment times by 32% while increasing sales accuracy</w:t>
      </w:r>
    </w:p>
    <w:p>
      <w:pPr>
        <w:numPr>
          <w:ilvl w:val="0"/>
          <w:numId w:val="1004"/>
        </w:numPr>
        <w:pStyle w:val="Compact"/>
      </w:pPr>
      <w:r>
        <w:rPr>
          <w:bCs/>
          <w:b/>
        </w:rPr>
        <w:t xml:space="preserve">Sustainability Commitment:</w:t>
      </w:r>
      <w:r>
        <w:t xml:space="preserve"> </w:t>
      </w:r>
      <w:r>
        <w:t xml:space="preserve">Introduced "Eco-Eye" program with 100% recyclable packaging (78% of customers purchased from this collection)</w:t>
      </w:r>
    </w:p>
    <w:p>
      <w:pPr>
        <w:numPr>
          <w:ilvl w:val="0"/>
          <w:numId w:val="1004"/>
        </w:numPr>
        <w:pStyle w:val="Compact"/>
      </w:pPr>
      <w:r>
        <w:rPr>
          <w:bCs/>
          <w:b/>
        </w:rPr>
        <w:t xml:space="preserve">Community Engagement:</w:t>
      </w:r>
      <w:r>
        <w:t xml:space="preserve"> </w:t>
      </w:r>
      <w:r>
        <w:t xml:space="preserve">Partnered with Wellington City Council for free eye screenings at public libraries (attracted 2,345 new patients)</w:t>
      </w:r>
    </w:p>
    <w:p>
      <w:pPr>
        <w:pStyle w:val="FirstParagraph"/>
      </w:pPr>
      <w:r>
        <w:t xml:space="preserve">This approach has positioned us as the top-rated optometrist practice in Wellington on Google Reviews (4.9★ from 1,870 reviews), directly influencing sales growth through authentic social proof.</w:t>
      </w:r>
    </w:p>
    <w:bookmarkEnd w:id="24"/>
    <w:bookmarkStart w:id="25" w:name="vi.-challenges-strategic-recommendations"/>
    <w:p>
      <w:pPr>
        <w:pStyle w:val="Heading2"/>
      </w:pPr>
      <w:r>
        <w:t xml:space="preserve">VI. Challenges &amp; Strategic Recommendations</w:t>
      </w:r>
    </w:p>
    <w:p>
      <w:pPr>
        <w:pStyle w:val="FirstParagraph"/>
      </w:pPr>
      <w:r>
        <w:t xml:space="preserve">Despite strong performance, we identified three critical challenges affecting our Sales Report:</w:t>
      </w:r>
    </w:p>
    <w:p>
      <w:pPr>
        <w:numPr>
          <w:ilvl w:val="0"/>
          <w:numId w:val="1005"/>
        </w:numPr>
        <w:pStyle w:val="Compact"/>
      </w:pPr>
      <w:r>
        <w:rPr>
          <w:bCs/>
          <w:b/>
        </w:rPr>
        <w:t xml:space="preserve">Supply Chain Delays:</w:t>
      </w:r>
      <w:r>
        <w:t xml:space="preserve"> </w:t>
      </w:r>
      <w:r>
        <w:t xml:space="preserve">3-week wait times for premium frames (vs industry average 10 days) impacted Q3 sales potential by $8,200</w:t>
      </w:r>
    </w:p>
    <w:p>
      <w:pPr>
        <w:numPr>
          <w:ilvl w:val="0"/>
          <w:numId w:val="1005"/>
        </w:numPr>
        <w:pStyle w:val="Compact"/>
      </w:pPr>
      <w:r>
        <w:rPr>
          <w:bCs/>
          <w:b/>
        </w:rPr>
        <w:t xml:space="preserve">Insurance Reimbursement Variability:</w:t>
      </w:r>
      <w:r>
        <w:t xml:space="preserve"> </w:t>
      </w:r>
      <w:r>
        <w:t xml:space="preserve">Inconsistent coverage for lifestyle lenses under ACC limited repeat purchase opportunities</w:t>
      </w:r>
    </w:p>
    <w:p>
      <w:pPr>
        <w:numPr>
          <w:ilvl w:val="0"/>
          <w:numId w:val="1005"/>
        </w:numPr>
        <w:pStyle w:val="Compact"/>
      </w:pPr>
      <w:r>
        <w:rPr>
          <w:bCs/>
          <w:b/>
        </w:rPr>
        <w:t xml:space="preserve">Talent Retention:</w:t>
      </w:r>
      <w:r>
        <w:t xml:space="preserve"> </w:t>
      </w:r>
      <w:r>
        <w:t xml:space="preserve">2 optometrist vacancies in Wellington created scheduling gaps reducing service capacity</w:t>
      </w:r>
    </w:p>
    <w:p>
      <w:pPr>
        <w:pStyle w:val="FirstParagraph"/>
      </w:pPr>
      <w:r>
        <w:rPr>
          <w:iCs/>
          <w:i/>
        </w:rPr>
        <w:t xml:space="preserve">Action Plan for Q4 2023:</w:t>
      </w:r>
    </w:p>
    <w:p>
      <w:pPr>
        <w:numPr>
          <w:ilvl w:val="0"/>
          <w:numId w:val="1006"/>
        </w:numPr>
        <w:pStyle w:val="Compact"/>
      </w:pPr>
      <w:r>
        <w:t xml:space="preserve">Partner with local supplier "FrameCraft NZ" to establish Wellington-based inventory hub, targeting 7-day frame delivery</w:t>
      </w:r>
    </w:p>
    <w:p>
      <w:pPr>
        <w:numPr>
          <w:ilvl w:val="0"/>
          <w:numId w:val="1006"/>
        </w:numPr>
        <w:pStyle w:val="Compact"/>
      </w:pPr>
      <w:r>
        <w:t xml:space="preserve">Develop ACC-compliant "Vision Wellness" packages with extended coverage terms</w:t>
      </w:r>
    </w:p>
    <w:p>
      <w:pPr>
        <w:numPr>
          <w:ilvl w:val="0"/>
          <w:numId w:val="1006"/>
        </w:numPr>
        <w:pStyle w:val="Compact"/>
      </w:pPr>
      <w:r>
        <w:t xml:space="preserve">Launch Wellington-specific optometrist apprenticeship program in partnership with Victoria University of Wellington</w:t>
      </w:r>
    </w:p>
    <w:bookmarkEnd w:id="25"/>
    <w:bookmarkStart w:id="26" w:name="Xe932b7435927444e57ec9fcb457a91fbc68447b"/>
    <w:p>
      <w:pPr>
        <w:pStyle w:val="Heading2"/>
      </w:pPr>
      <w:r>
        <w:t xml:space="preserve">VII. Future Outlook: New Zealand Wellington Growth Projections</w:t>
      </w:r>
    </w:p>
    <w:p>
      <w:pPr>
        <w:pStyle w:val="FirstParagraph"/>
      </w:pPr>
      <w:r>
        <w:t xml:space="preserve">Based on current trajectory and Wellington's demographic trends, we project:</w:t>
      </w:r>
    </w:p>
    <w:p>
      <w:pPr>
        <w:numPr>
          <w:ilvl w:val="0"/>
          <w:numId w:val="1007"/>
        </w:numPr>
        <w:pStyle w:val="Compact"/>
      </w:pPr>
      <w:r>
        <w:t xml:space="preserve">15-17% annual revenue growth for 2024 (vs national optometry industry forecast of 8.3%)</w:t>
      </w:r>
    </w:p>
    <w:p>
      <w:pPr>
        <w:numPr>
          <w:ilvl w:val="0"/>
          <w:numId w:val="1007"/>
        </w:numPr>
        <w:pStyle w:val="Compact"/>
      </w:pPr>
      <w:r>
        <w:t xml:space="preserve">New Zealand market share increase from 9.2% to 11.5% in Wellington by Q2 2024</w:t>
      </w:r>
    </w:p>
    <w:p>
      <w:pPr>
        <w:numPr>
          <w:ilvl w:val="0"/>
          <w:numId w:val="1007"/>
        </w:numPr>
        <w:pStyle w:val="Compact"/>
      </w:pPr>
      <w:r>
        <w:t xml:space="preserve">Expansion into Kapiti Coast region with dedicated satellite clinic by Q1 2024</w:t>
      </w:r>
    </w:p>
    <w:p>
      <w:pPr>
        <w:pStyle w:val="FirstParagraph"/>
      </w:pPr>
      <w:r>
        <w:t xml:space="preserve">The growing population of Wellington's university students (over 35,000 at Victoria University and Massey) represents a significant untapped market for our optometrist services. We recommend launching "Student Vision Packages" with tiered pricing in Q1 2024.</w:t>
      </w:r>
    </w:p>
    <w:bookmarkEnd w:id="26"/>
    <w:bookmarkStart w:id="27" w:name="viii.-conclusion"/>
    <w:p>
      <w:pPr>
        <w:pStyle w:val="Heading2"/>
      </w:pPr>
      <w:r>
        <w:t xml:space="preserve">VIII. Conclusion</w:t>
      </w:r>
    </w:p>
    <w:p>
      <w:pPr>
        <w:pStyle w:val="FirstParagraph"/>
      </w:pPr>
      <w:r>
        <w:t xml:space="preserve">This Sales Report confirms that our Wellington optometrist practice is not only thriving within New Zealand's competitive optical market but also setting new benchmarks for customer-centric sales performance. The strategic integration of clinical excellence with targeted commercial initiatives has created a sustainable growth engine uniquely positioned for the Wellington community. Our continued success hinges on maintaining the delicate balance between premium patient experience and commercial efficiency – a formula that has proven exceptionally effective in New Zealand's evolving healthcare landscape.</w:t>
      </w:r>
    </w:p>
    <w:p>
      <w:pPr>
        <w:pStyle w:val="BodyText"/>
      </w:pPr>
      <w:r>
        <w:t xml:space="preserve">As we enter 2024, our focus remains firmly on leveraging local market intelligence to deliver exceptional eye care services that drive both patient satisfaction and revenue growth. This Sales Report provides the roadmap for cementing our position as Wellington's leading optometrist practice while contributing to New Zealand's broader health innovation ecosystem.</w:t>
      </w:r>
    </w:p>
    <w:p>
      <w:pPr>
        <w:pStyle w:val="BodyText"/>
      </w:pPr>
      <w:r>
        <w:rPr>
          <w:bCs/>
          <w:b/>
        </w:rPr>
        <w:t xml:space="preserve">Prepared By:</w:t>
      </w:r>
      <w:r>
        <w:t xml:space="preserve"> </w:t>
      </w:r>
      <w:r>
        <w:t xml:space="preserve">Sarah Chen, Director of Business Development</w:t>
      </w:r>
      <w:r>
        <w:br/>
      </w:r>
      <w:r>
        <w:rPr>
          <w:bCs/>
          <w:b/>
        </w:rPr>
        <w:t xml:space="preserve">Wellington Optometry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New Zealand Wellington Market Analysis</dc:title>
  <dc:creator/>
  <dc:language>en</dc:language>
  <cp:keywords/>
  <dcterms:created xsi:type="dcterms:W3CDTF">2026-09-28T00:20:05Z</dcterms:created>
  <dcterms:modified xsi:type="dcterms:W3CDTF">2026-09-28T00:20:05Z</dcterms:modified>
</cp:coreProperties>
</file>

<file path=docProps/custom.xml><?xml version="1.0" encoding="utf-8"?>
<Properties xmlns="http://schemas.openxmlformats.org/officeDocument/2006/custom-properties" xmlns:vt="http://schemas.openxmlformats.org/officeDocument/2006/docPropsVTypes"/>
</file>