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27" w:name="X9f08b1243a6d4ccc775d1857748489b6ecc1e39"/>
    <w:p>
      <w:pPr>
        <w:pStyle w:val="Heading1"/>
      </w:pPr>
      <w:r>
        <w:t xml:space="preserve">Quarterly Sales Report: Optometry Services at VisionCare Lagos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Board, VisionCare Lagos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VisionCare Lagos, a premier optometric practice operating in Nigeria's commercial capital. During Q3 2023, we achieved remarkable growth in eyewear sales and comprehensive eye care services, with total revenue reaching ₦14.8 million – a 28% increase from Q2 and 41% above the same period last year. This success underscores the rising demand for professional optometric care across Nigeria Lagos, where urbanization and heightened health awareness have transformed eye care from a luxury to a necessity. The report analyzes key drivers of this growth, customer behavior patterns specific to Lagos markets, and strategic recommendations for sustainable expansion.</w:t>
      </w:r>
    </w:p>
    <w:bookmarkEnd w:id="20"/>
    <w:bookmarkStart w:id="21" w:name="X3a1d843e3dccea195228709fc9992b097bd2f5c"/>
    <w:p>
      <w:pPr>
        <w:pStyle w:val="Heading2"/>
      </w:pPr>
      <w:r>
        <w:t xml:space="preserve">II. Market Context: Optometrist Services in Nigeria Lagos</w:t>
      </w:r>
    </w:p>
    <w:p>
      <w:pPr>
        <w:pStyle w:val="FirstParagraph"/>
      </w:pPr>
      <w:r>
        <w:t xml:space="preserve">Lagos State has become the epicenter of optometric innovation in Nigeria. With a population exceeding 15 million and rapid urban growth, eye care demand is escalating at an unprecedented rate. According to the National Eye Health Survey (2022), 38% of Lagos residents require vision correction – yet only 15% access regular optometric services due to affordability and accessibility barriers. VisionCare Lagos has strategically positioned itself as a solution provider through our three clinics in Victoria Island, Lekki Phase 1, and Ikeja GRA. Our commitment to affordable premium eyewear (with 70% of products priced under ₦25,000) has been pivotal in capturing this underserved market. As the leading</w:t>
      </w:r>
      <w:r>
        <w:t xml:space="preserve"> </w:t>
      </w:r>
      <w:r>
        <w:rPr>
          <w:bCs/>
          <w:b/>
        </w:rPr>
        <w:t xml:space="preserve">Optometrist</w:t>
      </w:r>
      <w:r>
        <w:t xml:space="preserve"> </w:t>
      </w:r>
      <w:r>
        <w:t xml:space="preserve">practice in</w:t>
      </w:r>
      <w:r>
        <w:t xml:space="preserve"> </w:t>
      </w:r>
      <w:r>
        <w:rPr>
          <w:bCs/>
          <w:b/>
        </w:rPr>
        <w:t xml:space="preserve">Nigeria Lagos</w:t>
      </w:r>
      <w:r>
        <w:t xml:space="preserve">, we’ve witnessed a 62% increase in first-time patients from low-to-middle-income neighborhoods during Q3 – validating our community-focused model.</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Service/Product</w:t>
            </w:r>
          </w:p>
        </w:tc>
        <w:tc>
          <w:tcPr/>
          <w:p>
            <w:pPr>
              <w:pStyle w:val="Compact"/>
              <w:jc w:val="left"/>
            </w:pPr>
            <w:r>
              <w:t xml:space="preserve">Revenue (₦)</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Digital Eye Exams (Comprehensive)</w:t>
            </w:r>
          </w:p>
        </w:tc>
        <w:tc>
          <w:tcPr/>
          <w:p>
            <w:pPr>
              <w:pStyle w:val="Compact"/>
              <w:jc w:val="left"/>
            </w:pPr>
            <w:r>
              <w:t xml:space="preserve">4,920,000</w:t>
            </w:r>
          </w:p>
        </w:tc>
        <w:tc>
          <w:tcPr/>
          <w:p>
            <w:pPr>
              <w:pStyle w:val="Compact"/>
              <w:jc w:val="left"/>
            </w:pPr>
            <w:r>
              <w:t xml:space="preserve">33.2%</w:t>
            </w:r>
          </w:p>
        </w:tc>
        <w:tc>
          <w:tcPr/>
          <w:p>
            <w:pPr>
              <w:pStyle w:val="Compact"/>
              <w:jc w:val="left"/>
            </w:pPr>
            <w:r>
              <w:t xml:space="preserve">+35.6%</w:t>
            </w:r>
          </w:p>
        </w:tc>
      </w:tr>
      <w:tr>
        <w:tc>
          <w:tcPr/>
          <w:p>
            <w:pPr>
              <w:pStyle w:val="Compact"/>
              <w:jc w:val="left"/>
            </w:pPr>
            <w:r>
              <w:t xml:space="preserve">Premium Eyeglasses (Branded)</w:t>
            </w:r>
          </w:p>
        </w:tc>
        <w:tc>
          <w:tcPr/>
          <w:p>
            <w:pPr>
              <w:pStyle w:val="Compact"/>
              <w:jc w:val="left"/>
            </w:pPr>
            <w:r>
              <w:t xml:space="preserve">5,184,000</w:t>
            </w:r>
          </w:p>
        </w:tc>
        <w:tc>
          <w:tcPr/>
          <w:p>
            <w:pPr>
              <w:pStyle w:val="Compact"/>
              <w:jc w:val="left"/>
            </w:pPr>
            <w:r>
              <w:t xml:space="preserve">35.1%</w:t>
            </w:r>
          </w:p>
        </w:tc>
        <w:tc>
          <w:tcPr/>
          <w:p>
            <w:pPr>
              <w:pStyle w:val="Compact"/>
              <w:jc w:val="left"/>
            </w:pPr>
            <w:r>
              <w:t xml:space="preserve">+42.9%</w:t>
            </w:r>
          </w:p>
        </w:tc>
      </w:tr>
      <w:tr>
        <w:tc>
          <w:tcPr/>
          <w:p>
            <w:pPr>
              <w:pStyle w:val="Compact"/>
              <w:jc w:val="left"/>
            </w:pPr>
            <w:r>
              <w:t xml:space="preserve">Generic Eyewear Frames &amp; Lenses</w:t>
            </w:r>
          </w:p>
        </w:tc>
        <w:tc>
          <w:tcPr/>
          <w:p>
            <w:pPr>
              <w:pStyle w:val="Compact"/>
              <w:jc w:val="left"/>
            </w:pPr>
            <w:r>
              <w:t xml:space="preserve">3,276,000</w:t>
            </w:r>
          </w:p>
        </w:tc>
        <w:tc>
          <w:tcPr/>
          <w:p>
            <w:pPr>
              <w:pStyle w:val="Compact"/>
              <w:jc w:val="left"/>
            </w:pPr>
            <w:r>
              <w:t xml:space="preserve">22.1%</w:t>
            </w:r>
          </w:p>
        </w:tc>
        <w:tc>
          <w:tcPr/>
          <w:p>
            <w:pPr>
              <w:pStyle w:val="Compact"/>
              <w:jc w:val="left"/>
            </w:pPr>
            <w:r>
              <w:t xml:space="preserve">+38.7%</w:t>
            </w:r>
          </w:p>
        </w:tc>
      </w:tr>
      <w:tr>
        <w:tc>
          <w:tcPr/>
          <w:p>
            <w:pPr>
              <w:pStyle w:val="Compact"/>
              <w:jc w:val="left"/>
            </w:pPr>
            <w:r>
              <w:t xml:space="preserve">Contact Lenses (Monthly Disposables)</w:t>
            </w:r>
          </w:p>
        </w:tc>
        <w:tc>
          <w:tcPr/>
          <w:p>
            <w:pPr>
              <w:pStyle w:val="Compact"/>
              <w:jc w:val="left"/>
            </w:pPr>
            <w:r>
              <w:t xml:space="preserve">1,420,000</w:t>
            </w:r>
          </w:p>
        </w:tc>
        <w:tc>
          <w:tcPr/>
          <w:p>
            <w:pPr>
              <w:pStyle w:val="Compact"/>
              <w:jc w:val="left"/>
            </w:pPr>
            <w:r>
              <w:t xml:space="preserve">9.6%</w:t>
            </w:r>
          </w:p>
        </w:tc>
        <w:tc>
          <w:tcPr/>
          <w:p>
            <w:pPr>
              <w:pStyle w:val="Compact"/>
              <w:jc w:val="left"/>
            </w:pPr>
            <w:r>
              <w:t xml:space="preserve">+24.3%</w:t>
            </w:r>
          </w:p>
        </w:tc>
      </w:tr>
      <w:tr>
        <w:tc>
          <w:tcPr/>
          <w:p>
            <w:pPr>
              <w:pStyle w:val="Compact"/>
              <w:jc w:val="left"/>
            </w:pPr>
            <w:r>
              <w:t xml:space="preserve">Total</w:t>
            </w:r>
          </w:p>
        </w:tc>
        <w:tc>
          <w:tcPr/>
          <w:p>
            <w:pPr>
              <w:pStyle w:val="Compact"/>
              <w:jc w:val="left"/>
            </w:pPr>
            <w:r>
              <w:rPr>
                <w:bCs/>
                <w:b/>
              </w:rPr>
              <w:t xml:space="preserve">14,800,000</w:t>
            </w:r>
          </w:p>
        </w:tc>
        <w:tc>
          <w:tcPr/>
          <w:p>
            <w:pPr>
              <w:pStyle w:val="Compact"/>
              <w:jc w:val="left"/>
            </w:pPr>
            <w:r>
              <w:rPr>
                <w:bCs/>
                <w:b/>
              </w:rPr>
              <w:t xml:space="preserve">100%</w:t>
            </w:r>
          </w:p>
        </w:tc>
        <w:tc>
          <w:tcPr/>
          <w:p>
            <w:pPr>
              <w:pStyle w:val="Compact"/>
              <w:jc w:val="left"/>
            </w:pPr>
            <w:r>
              <w:rPr>
                <w:bCs/>
                <w:b/>
              </w:rPr>
              <w:t xml:space="preserve">+41.3%</w:t>
            </w:r>
          </w:p>
        </w:tc>
      </w:tr>
    </w:tbl>
    <w:p>
      <w:pPr>
        <w:pStyle w:val="BodyText"/>
      </w:pPr>
      <w:r>
        <w:t xml:space="preserve">The most significant growth driver was our premium eyewear category (up 42.9% YoY), fueled by partnerships with global brands like Essilor and Zenni Optical for locally manufactured lenses. This segment now constitutes over one-third of total revenue – a testament to Lagosians’ increasing willingness to invest in eye health. Digital eye exams also surged due to our mobile app integration, which allows patients to schedule appointments, access vision reports, and receive home delivery of frames – a feature highly valued by Lagos’s busy professionals.</w:t>
      </w:r>
    </w:p>
    <w:bookmarkEnd w:id="22"/>
    <w:bookmarkStart w:id="23" w:name="X5a96b4d3f40e4ce4839305f86abeac5b3b3b451"/>
    <w:p>
      <w:pPr>
        <w:pStyle w:val="Heading2"/>
      </w:pPr>
      <w:r>
        <w:t xml:space="preserve">IV. Customer Insights: The Lagos Eye Care Market</w:t>
      </w:r>
    </w:p>
    <w:p>
      <w:pPr>
        <w:pStyle w:val="FirstParagraph"/>
      </w:pPr>
      <w:r>
        <w:t xml:space="preserve">Analysis of 5,843 patient surveys reveals critical behavioral patterns specific to</w:t>
      </w:r>
      <w:r>
        <w:t xml:space="preserve"> </w:t>
      </w:r>
      <w:r>
        <w:rPr>
          <w:bCs/>
          <w:b/>
        </w:rPr>
        <w:t xml:space="preserve">Nigeria Lagos</w:t>
      </w:r>
      <w:r>
        <w:t xml:space="preserve">:</w:t>
      </w:r>
    </w:p>
    <w:p>
      <w:pPr>
        <w:numPr>
          <w:ilvl w:val="0"/>
          <w:numId w:val="1001"/>
        </w:numPr>
        <w:pStyle w:val="Compact"/>
      </w:pPr>
      <w:r>
        <w:rPr>
          <w:bCs/>
          <w:b/>
        </w:rPr>
        <w:t xml:space="preserve">Urban Demographics Drive Demand:</w:t>
      </w:r>
      <w:r>
        <w:t xml:space="preserve"> </w:t>
      </w:r>
      <w:r>
        <w:t xml:space="preserve">78% of new patients (aged 18-45) are working professionals from Ogun State and Lagos Local Governments, prioritizing convenience over price.</w:t>
      </w:r>
    </w:p>
    <w:p>
      <w:pPr>
        <w:numPr>
          <w:ilvl w:val="0"/>
          <w:numId w:val="1001"/>
        </w:numPr>
        <w:pStyle w:val="Compact"/>
      </w:pPr>
      <w:r>
        <w:rPr>
          <w:bCs/>
          <w:b/>
        </w:rPr>
        <w:t xml:space="preserve">Digital Adoption:</w:t>
      </w:r>
      <w:r>
        <w:t xml:space="preserve"> </w:t>
      </w:r>
      <w:r>
        <w:t xml:space="preserve">65% of customers first learned about VisionCare through Instagram/TikTok health campaigns – proving social media’s role in building brand awareness for</w:t>
      </w:r>
      <w:r>
        <w:t xml:space="preserve"> </w:t>
      </w:r>
      <w:r>
        <w:rPr>
          <w:bCs/>
          <w:b/>
        </w:rPr>
        <w:t xml:space="preserve">Optometrist</w:t>
      </w:r>
      <w:r>
        <w:t xml:space="preserve"> </w:t>
      </w:r>
      <w:r>
        <w:t xml:space="preserve">services in Nigeria.</w:t>
      </w:r>
    </w:p>
    <w:p>
      <w:pPr>
        <w:numPr>
          <w:ilvl w:val="0"/>
          <w:numId w:val="1001"/>
        </w:numPr>
        <w:pStyle w:val="Compact"/>
      </w:pPr>
      <w:r>
        <w:rPr>
          <w:bCs/>
          <w:b/>
        </w:rPr>
        <w:t xml:space="preserve">Pricing Sensitivity:</w:t>
      </w:r>
      <w:r>
        <w:t xml:space="preserve"> </w:t>
      </w:r>
      <w:r>
        <w:t xml:space="preserve">While premium products grew, we observed a 22% increase in demand for "starter packages" (basic eye exam + one pair of frames at ₦15,000) among secondary school teachers and civil servants – indicating tiered pricing strategies work effectively.</w:t>
      </w:r>
    </w:p>
    <w:bookmarkEnd w:id="23"/>
    <w:bookmarkStart w:id="24" w:name="v.-challenges-strategic-response"/>
    <w:p>
      <w:pPr>
        <w:pStyle w:val="Heading2"/>
      </w:pPr>
      <w:r>
        <w:t xml:space="preserve">V. Challenges &amp; Strategic Response</w:t>
      </w:r>
    </w:p>
    <w:p>
      <w:pPr>
        <w:pStyle w:val="FirstParagraph"/>
      </w:pPr>
      <w:r>
        <w:t xml:space="preserve">Despite strong growth, two challenges required immediate attention:</w:t>
      </w:r>
    </w:p>
    <w:p>
      <w:pPr>
        <w:numPr>
          <w:ilvl w:val="0"/>
          <w:numId w:val="1002"/>
        </w:numPr>
        <w:pStyle w:val="Compact"/>
      </w:pPr>
      <w:r>
        <w:rPr>
          <w:bCs/>
          <w:b/>
        </w:rPr>
        <w:t xml:space="preserve">Supply Chain Disruptions:</w:t>
      </w:r>
      <w:r>
        <w:t xml:space="preserve"> </w:t>
      </w:r>
      <w:r>
        <w:t xml:space="preserve">Import tariffs on lenses increased costs by 18%. We mitigated this by partnering with Lagos-based manufacturer OptiLagos to produce 30% of our frames locally, reducing delivery times from 21 to 7 days.</w:t>
      </w:r>
    </w:p>
    <w:p>
      <w:pPr>
        <w:numPr>
          <w:ilvl w:val="0"/>
          <w:numId w:val="1002"/>
        </w:numPr>
        <w:pStyle w:val="Compact"/>
      </w:pPr>
      <w:r>
        <w:rPr>
          <w:bCs/>
          <w:b/>
        </w:rPr>
        <w:t xml:space="preserve">Competition in Key Areas:</w:t>
      </w:r>
      <w:r>
        <w:t xml:space="preserve"> </w:t>
      </w:r>
      <w:r>
        <w:t xml:space="preserve">A new clinic opened near Lekki Phase 1. We countered with a "Lagos Eye Care Festival" offering free screenings for first-time patients – attracting 320 new clients within two weeks.</w:t>
      </w:r>
    </w:p>
    <w:bookmarkEnd w:id="24"/>
    <w:bookmarkStart w:id="25" w:name="vi.-recommendations-for-q4-2023"/>
    <w:p>
      <w:pPr>
        <w:pStyle w:val="Heading2"/>
      </w:pPr>
      <w:r>
        <w:t xml:space="preserve">VI. Recommendations for Q4 2023</w:t>
      </w:r>
    </w:p>
    <w:p>
      <w:pPr>
        <w:pStyle w:val="FirstParagraph"/>
      </w:pPr>
      <w:r>
        <w:t xml:space="preserve">Based on this</w:t>
      </w:r>
      <w:r>
        <w:t xml:space="preserve"> </w:t>
      </w:r>
      <w:r>
        <w:rPr>
          <w:bCs/>
          <w:b/>
        </w:rPr>
        <w:t xml:space="preserve">Sales Report</w:t>
      </w:r>
      <w:r>
        <w:t xml:space="preserve">, we propose:</w:t>
      </w:r>
    </w:p>
    <w:p>
      <w:pPr>
        <w:numPr>
          <w:ilvl w:val="0"/>
          <w:numId w:val="1003"/>
        </w:numPr>
        <w:pStyle w:val="Compact"/>
      </w:pPr>
      <w:r>
        <w:rPr>
          <w:bCs/>
          <w:b/>
        </w:rPr>
        <w:t xml:space="preserve">Expand "Vision for Schools" Program:</w:t>
      </w:r>
      <w:r>
        <w:t xml:space="preserve"> </w:t>
      </w:r>
      <w:r>
        <w:t xml:space="preserve">Partner with 15 Lagos public schools to provide free eye exams and discounted glasses. This addresses the 40% unmet need among schoolchildren (per NPHCDA data) while building brand loyalty.</w:t>
      </w:r>
    </w:p>
    <w:p>
      <w:pPr>
        <w:numPr>
          <w:ilvl w:val="0"/>
          <w:numId w:val="1003"/>
        </w:numPr>
        <w:pStyle w:val="Compact"/>
      </w:pPr>
      <w:r>
        <w:rPr>
          <w:bCs/>
          <w:b/>
        </w:rPr>
        <w:t xml:space="preserve">Leverage Lagos Traffic Patterns:</w:t>
      </w:r>
      <w:r>
        <w:t xml:space="preserve"> </w:t>
      </w:r>
      <w:r>
        <w:t xml:space="preserve">Launch "Drive-Thru Eye Checks" at high-traffic areas like Ikoyi Roundabout and Epe Road during rush hours, capitalizing on Lagosians' mobility constraints.</w:t>
      </w:r>
    </w:p>
    <w:p>
      <w:pPr>
        <w:numPr>
          <w:ilvl w:val="0"/>
          <w:numId w:val="1003"/>
        </w:numPr>
        <w:pStyle w:val="Compact"/>
      </w:pPr>
      <w:r>
        <w:rPr>
          <w:bCs/>
          <w:b/>
        </w:rPr>
        <w:t xml:space="preserve">Digital Upsell Strategy:</w:t>
      </w:r>
      <w:r>
        <w:t xml:space="preserve"> </w:t>
      </w:r>
      <w:r>
        <w:t xml:space="preserve">Introduce subscription plans for contact lenses (₦5,000/month) – projected to generate ₦2.3 million in recurring revenue by Q1 2024.</w:t>
      </w:r>
    </w:p>
    <w:bookmarkEnd w:id="25"/>
    <w:bookmarkStart w:id="26" w:name="vii.-conclusion"/>
    <w:p>
      <w:pPr>
        <w:pStyle w:val="Heading2"/>
      </w:pPr>
      <w:r>
        <w:t xml:space="preserve">VII. Conclusion</w:t>
      </w:r>
    </w:p>
    <w:p>
      <w:pPr>
        <w:pStyle w:val="FirstParagraph"/>
      </w:pPr>
      <w:r>
        <w:t xml:space="preserve">The Q3 Sales Report confirms VisionCare Lagos’ position as the leading</w:t>
      </w:r>
      <w:r>
        <w:t xml:space="preserve"> </w:t>
      </w:r>
      <w:r>
        <w:rPr>
          <w:bCs/>
          <w:b/>
        </w:rPr>
        <w:t xml:space="preserve">Optometrist</w:t>
      </w:r>
      <w:r>
        <w:t xml:space="preserve"> </w:t>
      </w:r>
      <w:r>
        <w:t xml:space="preserve">practice in</w:t>
      </w:r>
      <w:r>
        <w:t xml:space="preserve"> </w:t>
      </w:r>
      <w:r>
        <w:rPr>
          <w:bCs/>
          <w:b/>
        </w:rPr>
        <w:t xml:space="preserve">Nigeria Lagos</w:t>
      </w:r>
      <w:r>
        <w:t xml:space="preserve">, with a growth trajectory that outpaces national optometry industry averages by 150%. Our success stems from understanding Lagos’s unique market dynamics – where convenience, affordability, and digital integration are non-negotiable. As the city continues to urbanize rapidly, eye care will evolve from a niche service to essential infrastructure. VisionCare is uniquely positioned to lead this transformation through data-driven strategies tailored for</w:t>
      </w:r>
      <w:r>
        <w:t xml:space="preserve"> </w:t>
      </w:r>
      <w:r>
        <w:rPr>
          <w:bCs/>
          <w:b/>
        </w:rPr>
        <w:t xml:space="preserve">Nigeria Lagos</w:t>
      </w:r>
      <w:r>
        <w:t xml:space="preserve">. We project Q4 revenue of ₦17.5 million, with a focus on scaling our school initiative and optimizing our local manufacturing partnership. This report demonstrates that in the competitive landscape of Nigerian eye care, only those who adapt to Lagos’s rhythm will thrive.</w:t>
      </w:r>
    </w:p>
    <w:p>
      <w:pPr>
        <w:pStyle w:val="BodyText"/>
      </w:pPr>
      <w:r>
        <w:rPr>
          <w:iCs/>
          <w:i/>
        </w:rPr>
        <w:t xml:space="preserve">Prepared by: VisionCare Lagos Sales &amp;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 Nigeria Lagos</dc:title>
  <dc:creator/>
  <dc:language>en</dc:language>
  <cp:keywords/>
  <dcterms:created xsi:type="dcterms:W3CDTF">2026-07-23T22:09:14Z</dcterms:created>
  <dcterms:modified xsi:type="dcterms:W3CDTF">2026-07-23T22:09:14Z</dcterms:modified>
</cp:coreProperties>
</file>

<file path=docProps/custom.xml><?xml version="1.0" encoding="utf-8"?>
<Properties xmlns="http://schemas.openxmlformats.org/officeDocument/2006/custom-properties" xmlns:vt="http://schemas.openxmlformats.org/officeDocument/2006/docPropsVTypes"/>
</file>