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w:t>
      </w:r>
      <w:r>
        <w:t xml:space="preserve"> </w:t>
      </w:r>
      <w:r>
        <w:t xml:space="preserve">Peru</w:t>
      </w:r>
      <w:r>
        <w:t xml:space="preserve"> </w:t>
      </w:r>
      <w:r>
        <w:t xml:space="preserve">Lima</w:t>
      </w:r>
    </w:p>
    <w:bookmarkStart w:id="27" w:name="Xb094edd8e1fb221df4d90bdcb3e910c38ab2a2b"/>
    <w:p>
      <w:pPr>
        <w:pStyle w:val="Heading1"/>
      </w:pPr>
      <w:r>
        <w:t xml:space="preserve">Quarterly Sales Report: Optometrist Practice Performance Analysis for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2023 – September 30, 2023</w:t>
      </w:r>
      <w:r>
        <w:br/>
      </w:r>
      <w:r>
        <w:rPr>
          <w:bCs/>
          <w:b/>
        </w:rPr>
        <w:t xml:space="preserve">Sales Report Focus:</w:t>
      </w:r>
      <w:r>
        <w:t xml:space="preserve"> </w:t>
      </w:r>
      <w:r>
        <w:t xml:space="preserve">Optometrist Practice Operations in Peru Lima</w:t>
      </w:r>
    </w:p>
    <w:bookmarkStart w:id="20" w:name="i.-executive-summary"/>
    <w:p>
      <w:pPr>
        <w:pStyle w:val="Heading2"/>
      </w:pPr>
      <w:r>
        <w:t xml:space="preserve">I. Executive Summary</w:t>
      </w:r>
    </w:p>
    <w:p>
      <w:pPr>
        <w:pStyle w:val="FirstParagraph"/>
      </w:pPr>
      <w:r>
        <w:t xml:space="preserve">This Sales Report details the operational and financial performance of our optometry practice within the competitive healthcare landscape of Peru Lima. As a leading provider of comprehensive eye care services, we have achieved remarkable growth through strategic market positioning and community engagement. The current quarter demonstrates a 18% year-over-year increase in revenue, driven by expanding patient base and diversified service offerings. This performance underscores the critical need for specialized optometrist services in urban Peru Lima, where visual health awareness is rapidly growing among residents.</w:t>
      </w:r>
    </w:p>
    <w:bookmarkEnd w:id="20"/>
    <w:bookmarkStart w:id="21" w:name="ii.-sales-performance-overview"/>
    <w:p>
      <w:pPr>
        <w:pStyle w:val="Heading2"/>
      </w:pPr>
      <w:r>
        <w:t xml:space="preserve">II. Sales Performance Overview</w:t>
      </w:r>
    </w:p>
    <w:p>
      <w:pPr>
        <w:pStyle w:val="FirstParagraph"/>
      </w:pPr>
      <w:r>
        <w:t xml:space="preserve">Our Peru Lima practice recorded total revenue of USD 148,500 during Q3 2023, exceeding the quarterly target by 14%. Key growth drivers include:</w:t>
      </w:r>
    </w:p>
    <w:p>
      <w:pPr>
        <w:numPr>
          <w:ilvl w:val="0"/>
          <w:numId w:val="1001"/>
        </w:numPr>
        <w:pStyle w:val="Compact"/>
      </w:pPr>
      <w:r>
        <w:rPr>
          <w:bCs/>
          <w:b/>
        </w:rPr>
        <w:t xml:space="preserve">Optometrist Consultation Services:</w:t>
      </w:r>
      <w:r>
        <w:t xml:space="preserve"> </w:t>
      </w:r>
      <w:r>
        <w:t xml:space="preserve">Accounted for 42% of total revenue (USD 62,370), reflecting strong patient demand for comprehensive eye examinations.</w:t>
      </w:r>
    </w:p>
    <w:p>
      <w:pPr>
        <w:numPr>
          <w:ilvl w:val="0"/>
          <w:numId w:val="1001"/>
        </w:numPr>
        <w:pStyle w:val="Compact"/>
      </w:pPr>
      <w:r>
        <w:rPr>
          <w:bCs/>
          <w:b/>
        </w:rPr>
        <w:t xml:space="preserve">Sunglasses &amp; Eyewear Sales:</w:t>
      </w:r>
      <w:r>
        <w:t xml:space="preserve"> </w:t>
      </w:r>
      <w:r>
        <w:t xml:space="preserve">Surged by 27% YoY to USD 58,900 due to targeted marketing campaigns in high-traffic Lima districts (Miraflores, San Isidro).</w:t>
      </w:r>
    </w:p>
    <w:p>
      <w:pPr>
        <w:numPr>
          <w:ilvl w:val="0"/>
          <w:numId w:val="1001"/>
        </w:numPr>
        <w:pStyle w:val="Compact"/>
      </w:pPr>
      <w:r>
        <w:rPr>
          <w:bCs/>
          <w:b/>
        </w:rPr>
        <w:t xml:space="preserve">Specialized Treatments:</w:t>
      </w:r>
      <w:r>
        <w:t xml:space="preserve"> </w:t>
      </w:r>
      <w:r>
        <w:t xml:space="preserve">Contact lens fittings and digital eye strain solutions contributed USD 27,230 (18% growth), addressing Peru's rising screen usage trends.</w:t>
      </w:r>
    </w:p>
    <w:p>
      <w:pPr>
        <w:pStyle w:val="FirstParagraph"/>
      </w:pPr>
      <w:r>
        <w:t xml:space="preserve">Notably, our optometrist practice achieved a 35% patient retention rate—surpassing the Lima regional average of 24%. This is attributed to our personalized care model and strategic partnerships with local employers in Lima's business hubs.</w:t>
      </w:r>
    </w:p>
    <w:bookmarkEnd w:id="21"/>
    <w:bookmarkStart w:id="22" w:name="iii.-market-analysis-peru-lima-context"/>
    <w:p>
      <w:pPr>
        <w:pStyle w:val="Heading2"/>
      </w:pPr>
      <w:r>
        <w:t xml:space="preserve">III. Market Analysis: Peru Lima Context</w:t>
      </w:r>
    </w:p>
    <w:p>
      <w:pPr>
        <w:pStyle w:val="FirstParagraph"/>
      </w:pPr>
      <w:r>
        <w:t xml:space="preserve">The optometrist sector in Peru Lima faces unique opportunities and challenges. According to the Peruvian Ministry of Health, 38% of urban residents require vision correction, yet only 15% access regular eye care annually. This gap represents a significant market opportunity for our practice. Key insights from Q3:</w:t>
      </w:r>
    </w:p>
    <w:p>
      <w:pPr>
        <w:numPr>
          <w:ilvl w:val="0"/>
          <w:numId w:val="1002"/>
        </w:numPr>
        <w:pStyle w:val="Compact"/>
      </w:pPr>
      <w:r>
        <w:t xml:space="preserve">Urbanization in Lima has increased demand for preventive optometrist services by 22% in the past year.</w:t>
      </w:r>
    </w:p>
    <w:p>
      <w:pPr>
        <w:numPr>
          <w:ilvl w:val="0"/>
          <w:numId w:val="1002"/>
        </w:numPr>
        <w:pStyle w:val="Compact"/>
      </w:pPr>
      <w:r>
        <w:t xml:space="preserve">57% of new patients were referred through community health initiatives—proving our outreach strategy's effectiveness in Peru Lima.</w:t>
      </w:r>
    </w:p>
    <w:p>
      <w:pPr>
        <w:numPr>
          <w:ilvl w:val="0"/>
          <w:numId w:val="1002"/>
        </w:numPr>
        <w:pStyle w:val="Compact"/>
      </w:pPr>
      <w:r>
        <w:t xml:space="preserve">Economic factors show rising middle-class spending power; 68% of eyewear purchases now come from middle-income households (vs. 45% in 2021).</w:t>
      </w:r>
    </w:p>
    <w:bookmarkEnd w:id="22"/>
    <w:bookmarkStart w:id="23" w:name="iv.-productservice-breakdown"/>
    <w:p>
      <w:pPr>
        <w:pStyle w:val="Heading2"/>
      </w:pPr>
      <w:r>
        <w:t xml:space="preserve">IV. Product/Service Breakdown</w:t>
      </w:r>
    </w:p>
    <w:p>
      <w:pPr>
        <w:pStyle w:val="FirstParagraph"/>
      </w:pPr>
      <w:r>
        <w:t xml:space="preserve">Service/Product</w:t>
      </w:r>
    </w:p>
    <w:p>
      <w:pPr>
        <w:pStyle w:val="BodyText"/>
      </w:pPr>
      <w:r>
        <w:t xml:space="preserve">Q3 Revenue (USD)</w:t>
      </w:r>
    </w:p>
    <w:p>
      <w:pPr>
        <w:pStyle w:val="BodyText"/>
      </w:pPr>
      <w:r>
        <w:t xml:space="preserve">% of Total</w:t>
      </w:r>
    </w:p>
    <w:p>
      <w:pPr>
        <w:pStyle w:val="BodyText"/>
      </w:pPr>
      <w:r>
        <w:t xml:space="preserve">YoY Growth</w:t>
      </w:r>
    </w:p>
    <w:p>
      <w:pPr>
        <w:pStyle w:val="BodyText"/>
      </w:pPr>
      <w:r>
        <w:t xml:space="preserve">Comprehensive Eye Exams (Optometrist)</w:t>
      </w:r>
    </w:p>
    <w:p>
      <w:pPr>
        <w:pStyle w:val="BodyText"/>
      </w:pPr>
      <w:r>
        <w:t xml:space="preserve">$62,370</w:t>
      </w:r>
    </w:p>
    <w:p>
      <w:pPr>
        <w:pStyle w:val="BodyText"/>
      </w:pPr>
      <w:r>
        <w:t xml:space="preserve">42%</w:t>
      </w:r>
    </w:p>
    <w:p>
      <w:pPr>
        <w:pStyle w:val="BodyText"/>
      </w:pPr>
      <w:r>
        <w:t xml:space="preserve">+19.8%</w:t>
      </w:r>
    </w:p>
    <w:p>
      <w:pPr>
        <w:pStyle w:val="BodyText"/>
      </w:pPr>
      <w:r>
        <w:t xml:space="preserve">Sunglasses &amp; Eyewear</w:t>
      </w:r>
    </w:p>
    <w:p>
      <w:pPr>
        <w:pStyle w:val="BodyText"/>
      </w:pPr>
      <w:r>
        <w:t xml:space="preserve">$58,900</w:t>
      </w:r>
    </w:p>
    <w:p>
      <w:pPr>
        <w:pStyle w:val="BodyText"/>
      </w:pPr>
      <w:r>
        <w:rPr>
          <w:bCs/>
          <w:b/>
        </w:rPr>
        <w:t xml:space="preserve">39.7%</w:t>
      </w:r>
      <w:r>
        <w:t xml:space="preserve">+27.4%</w:t>
      </w:r>
    </w:p>
    <w:p>
      <w:pPr>
        <w:pStyle w:val="BodyText"/>
      </w:pPr>
      <w:r>
        <w:t xml:space="preserve">Contact Lenses &amp; Fittings</w:t>
      </w:r>
    </w:p>
    <w:p>
      <w:pPr>
        <w:pStyle w:val="BodyText"/>
      </w:pPr>
      <w:r>
        <w:t xml:space="preserve">$27,230</w:t>
      </w:r>
    </w:p>
    <w:p>
      <w:pPr>
        <w:pStyle w:val="BodyText"/>
      </w:pPr>
      <w:r>
        <w:t xml:space="preserve">18.3%</w:t>
      </w:r>
    </w:p>
    <w:p>
      <w:pPr>
        <w:pStyle w:val="BodyText"/>
      </w:pPr>
      <w:r>
        <w:t xml:space="preserve">+15.6%</w:t>
      </w:r>
    </w:p>
    <w:p>
      <w:pPr>
        <w:pStyle w:val="BodyText"/>
      </w:pPr>
      <w:r>
        <w:t xml:space="preserve">Digital Eye Strain Treatment</w:t>
      </w:r>
    </w:p>
    <w:p>
      <w:pPr>
        <w:pStyle w:val="BodyText"/>
      </w:pPr>
      <w:r>
        <w:t xml:space="preserve">$4,000</w:t>
      </w:r>
    </w:p>
    <w:p>
      <w:pPr>
        <w:pStyle w:val="BodyText"/>
      </w:pPr>
      <w:r>
        <w:t xml:space="preserve">2.7%</w:t>
      </w:r>
    </w:p>
    <w:p>
      <w:pPr>
        <w:pStyle w:val="BodyText"/>
      </w:pPr>
      <w:r>
        <w:t xml:space="preserve">+48.1% (New Service)</w:t>
      </w:r>
    </w:p>
    <w:p>
      <w:pPr>
        <w:pStyle w:val="BodyText"/>
      </w:pPr>
      <w:r>
        <w:t xml:space="preserve">The 27.4% growth in eyewear sales aligns with Peru Lima's booming tourism industry—52% of sunglasses buyers were international visitors seeking UV protection for coastal areas like Huanchaco and Mancora.</w:t>
      </w:r>
    </w:p>
    <w:bookmarkEnd w:id="23"/>
    <w:bookmarkStart w:id="24" w:name="v.-challenges-strategic-response"/>
    <w:p>
      <w:pPr>
        <w:pStyle w:val="Heading2"/>
      </w:pPr>
      <w:r>
        <w:t xml:space="preserve">V. Challenges &amp; Strategic Response</w:t>
      </w:r>
    </w:p>
    <w:p>
      <w:pPr>
        <w:pStyle w:val="FirstParagraph"/>
      </w:pPr>
      <w:r>
        <w:t xml:space="preserve">While performance is strong, two challenges require focused attention:</w:t>
      </w:r>
    </w:p>
    <w:p>
      <w:pPr>
        <w:numPr>
          <w:ilvl w:val="0"/>
          <w:numId w:val="1003"/>
        </w:numPr>
        <w:pStyle w:val="Compact"/>
      </w:pPr>
      <w:r>
        <w:rPr>
          <w:bCs/>
          <w:b/>
        </w:rPr>
        <w:t xml:space="preserve">Supply Chain Delays:</w:t>
      </w:r>
      <w:r>
        <w:t xml:space="preserve"> </w:t>
      </w:r>
      <w:r>
        <w:t xml:space="preserve">Imported lens materials faced 30-day delays from European suppliers. Our solution: Partnered with local Peruvian manufacturer "Vision Peru" to reduce dependency by 65%.</w:t>
      </w:r>
    </w:p>
    <w:p>
      <w:pPr>
        <w:numPr>
          <w:ilvl w:val="0"/>
          <w:numId w:val="1003"/>
        </w:numPr>
        <w:pStyle w:val="Compact"/>
      </w:pPr>
      <w:r>
        <w:rPr>
          <w:bCs/>
          <w:b/>
        </w:rPr>
        <w:t xml:space="preserve">Price Sensitivity:</w:t>
      </w:r>
      <w:r>
        <w:t xml:space="preserve"> </w:t>
      </w:r>
      <w:r>
        <w:t xml:space="preserve">Middle-income patients in Lima's peripheral districts (e.g., Villa El Salvador) hesitated at standard pricing. Our response: Launched a "Vision for All" initiative with sliding-scale fees, increasing patient volume by 23% in these areas.</w:t>
      </w:r>
    </w:p>
    <w:p>
      <w:pPr>
        <w:pStyle w:val="FirstParagraph"/>
      </w:pPr>
      <w:r>
        <w:t xml:space="preserve">These measures directly support our Sales Report objective of expanding optometrist accessibility across all Lima socioeconomic segments.</w:t>
      </w:r>
    </w:p>
    <w:bookmarkEnd w:id="24"/>
    <w:bookmarkStart w:id="25" w:name="vi.-future-outlook-growth-opportunities"/>
    <w:p>
      <w:pPr>
        <w:pStyle w:val="Heading2"/>
      </w:pPr>
      <w:r>
        <w:t xml:space="preserve">VI. Future Outlook &amp; Growth Opportunities</w:t>
      </w:r>
    </w:p>
    <w:p>
      <w:pPr>
        <w:pStyle w:val="FirstParagraph"/>
      </w:pPr>
      <w:r>
        <w:t xml:space="preserve">Lima's visual health market presents substantial growth potential for our optometrist practice:</w:t>
      </w:r>
    </w:p>
    <w:p>
      <w:pPr>
        <w:numPr>
          <w:ilvl w:val="0"/>
          <w:numId w:val="1004"/>
        </w:numPr>
        <w:pStyle w:val="Compact"/>
      </w:pPr>
      <w:r>
        <w:rPr>
          <w:bCs/>
          <w:b/>
        </w:rPr>
        <w:t xml:space="preserve">Teleoptometry Expansion:</w:t>
      </w:r>
      <w:r>
        <w:t xml:space="preserve"> </w:t>
      </w:r>
      <w:r>
        <w:t xml:space="preserve">Pilot program in partnership with Lima University shows 3,000+ virtual consults completed. Anticipated 45% revenue contribution by Q2 2024.</w:t>
      </w:r>
    </w:p>
    <w:p>
      <w:pPr>
        <w:numPr>
          <w:ilvl w:val="0"/>
          <w:numId w:val="1004"/>
        </w:numPr>
        <w:pStyle w:val="Compact"/>
      </w:pPr>
      <w:r>
        <w:rPr>
          <w:bCs/>
          <w:b/>
        </w:rPr>
        <w:t xml:space="preserve">School Vision Screening Partnerships:</w:t>
      </w:r>
      <w:r>
        <w:t xml:space="preserve"> </w:t>
      </w:r>
      <w:r>
        <w:t xml:space="preserve">Secured contracts with 15 public schools in Lima's east side—projected to generate USD 38,000 in annual revenue.</w:t>
      </w:r>
    </w:p>
    <w:p>
      <w:pPr>
        <w:numPr>
          <w:ilvl w:val="0"/>
          <w:numId w:val="1004"/>
        </w:numPr>
        <w:pStyle w:val="Compact"/>
      </w:pPr>
      <w:r>
        <w:rPr>
          <w:bCs/>
          <w:b/>
        </w:rPr>
        <w:t xml:space="preserve">Luxury Eyewear Segment:</w:t>
      </w:r>
      <w:r>
        <w:t xml:space="preserve"> </w:t>
      </w:r>
      <w:r>
        <w:t xml:space="preserve">Targeting Lima's affluent district of San Isidro with designer frames; early sales show 65% profit margin versus standard line (42%).</w:t>
      </w:r>
    </w:p>
    <w:bookmarkEnd w:id="25"/>
    <w:bookmarkStart w:id="26" w:name="vii.-conclusion-strategic-imperatives"/>
    <w:p>
      <w:pPr>
        <w:pStyle w:val="Heading2"/>
      </w:pPr>
      <w:r>
        <w:t xml:space="preserve">VII. Conclusion &amp; Strategic Imperatives</w:t>
      </w:r>
    </w:p>
    <w:p>
      <w:pPr>
        <w:pStyle w:val="FirstParagraph"/>
      </w:pPr>
      <w:r>
        <w:t xml:space="preserve">This Sales Report confirms that our optometrist practice is well-positioned to lead eye care innovation in Peru Lima. The 18% YoY revenue growth demonstrates the viability of specialized vision services in Peru's urban centers, where demand far exceeds current supply. Moving forward, we must prioritize three imperatives:</w:t>
      </w:r>
    </w:p>
    <w:p>
      <w:pPr>
        <w:numPr>
          <w:ilvl w:val="0"/>
          <w:numId w:val="1005"/>
        </w:numPr>
        <w:pStyle w:val="Compact"/>
      </w:pPr>
      <w:r>
        <w:t xml:space="preserve">Accelerate local manufacturing partnerships to ensure supply chain resilience for all optometrist service lines.</w:t>
      </w:r>
    </w:p>
    <w:p>
      <w:pPr>
        <w:numPr>
          <w:ilvl w:val="0"/>
          <w:numId w:val="1005"/>
        </w:numPr>
        <w:pStyle w:val="Compact"/>
      </w:pPr>
      <w:r>
        <w:t xml:space="preserve">Expand community outreach programs targeting underserved Lima districts to convert first-time patients into long-term clients.</w:t>
      </w:r>
    </w:p>
    <w:p>
      <w:pPr>
        <w:numPr>
          <w:ilvl w:val="0"/>
          <w:numId w:val="1005"/>
        </w:numPr>
        <w:pStyle w:val="Compact"/>
      </w:pPr>
      <w:r>
        <w:t xml:space="preserve">Develop premium teleoptometry packages tailored for Peru's growing digital workforce, aligning with our Sales Report growth strategy.</w:t>
      </w:r>
    </w:p>
    <w:p>
      <w:pPr>
        <w:pStyle w:val="FirstParagraph"/>
      </w:pPr>
      <w:r>
        <w:t xml:space="preserve">In summary, the optometrist sector in Peru Lima is not merely growing—it is transforming. Our practice's success stems from understanding local needs while maintaining clinical excellence. As visual health becomes a priority across all Lima communities, we remain committed to delivering exceptional care that reflects both our professional standards and Peru's evolving healthcare landscape. The next quarter will focus on scaling successful initiatives documented in this Sales Report to solidify our position as Lima's premier optometrist destination.</w:t>
      </w:r>
    </w:p>
    <w:p>
      <w:pPr>
        <w:pStyle w:val="BodyText"/>
      </w:pPr>
      <w:r>
        <w:rPr>
          <w:bCs/>
          <w:b/>
        </w:rPr>
        <w:t xml:space="preserve">Prepared By:</w:t>
      </w:r>
      <w:r>
        <w:t xml:space="preserve"> </w:t>
      </w:r>
      <w:r>
        <w:t xml:space="preserve">Maria Fernandez, Practice Operations Director</w:t>
      </w:r>
      <w:r>
        <w:br/>
      </w:r>
      <w:r>
        <w:rPr>
          <w:bCs/>
          <w:b/>
        </w:rPr>
        <w:t xml:space="preserve">Contact:</w:t>
      </w:r>
      <w:r>
        <w:t xml:space="preserve"> </w:t>
      </w:r>
      <w:r>
        <w:t xml:space="preserve">maria.f@optometrylima.pe | +51 1 234-5678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 Peru Lima</dc:title>
  <dc:creator/>
  <dc:language>en</dc:language>
  <cp:keywords/>
  <dcterms:created xsi:type="dcterms:W3CDTF">2026-07-20T00:11:41Z</dcterms:created>
  <dcterms:modified xsi:type="dcterms:W3CDTF">2026-07-20T00:11:41Z</dcterms:modified>
</cp:coreProperties>
</file>

<file path=docProps/custom.xml><?xml version="1.0" encoding="utf-8"?>
<Properties xmlns="http://schemas.openxmlformats.org/officeDocument/2006/custom-properties" xmlns:vt="http://schemas.openxmlformats.org/officeDocument/2006/docPropsVTypes"/>
</file>