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Optometrist</w:t>
      </w:r>
      <w:r>
        <w:t xml:space="preserve"> </w:t>
      </w:r>
      <w:r>
        <w:t xml:space="preserve">Sales</w:t>
      </w:r>
      <w:r>
        <w:t xml:space="preserve"> </w:t>
      </w:r>
      <w:r>
        <w:t xml:space="preserve">Report</w:t>
      </w:r>
    </w:p>
    <w:bookmarkStart w:id="28" w:name="Xfc87ddc3916f4a35797480da27a092849d14fd4"/>
    <w:p>
      <w:pPr>
        <w:pStyle w:val="Heading1"/>
      </w:pPr>
      <w:r>
        <w:t xml:space="preserve">Comprehensive Sales Report: Optometry Services in Qatar Doha (Q4 2023)</w:t>
      </w:r>
    </w:p>
    <w:bookmarkStart w:id="20" w:name="introduction"/>
    <w:p>
      <w:pPr>
        <w:pStyle w:val="Heading2"/>
      </w:pPr>
      <w:r>
        <w:t xml:space="preserve">Introduction</w:t>
      </w:r>
    </w:p>
    <w:p>
      <w:pPr>
        <w:pStyle w:val="FirstParagraph"/>
      </w:pPr>
      <w:r>
        <w:t xml:space="preserve">This Sales Report provides a detailed analysis of optometric services performance across Qatar Doha, focusing on the critical intersection of healthcare delivery and market dynamics. As the capital city and economic epicenter of Qatar, Doha presents unique opportunities and challenges for optometry practices within the rapidly evolving Middle Eastern healthcare landscape. This document serves as a strategic blueprint for our</w:t>
      </w:r>
      <w:r>
        <w:t xml:space="preserve"> </w:t>
      </w:r>
      <w:r>
        <w:rPr>
          <w:bCs/>
          <w:b/>
        </w:rPr>
        <w:t xml:space="preserve">Optometrist</w:t>
      </w:r>
      <w:r>
        <w:t xml:space="preserve"> </w:t>
      </w:r>
      <w:r>
        <w:t xml:space="preserve">practice, highlighting revenue streams, patient engagement metrics, and growth initiatives specifically tailored to the Qatari market. With Qatar's Vision 2030 driving healthcare modernization, this report underscores how our Doha-based clinic is positioning itself as a leader in eye care innovation while meeting national health priorities.</w:t>
      </w:r>
    </w:p>
    <w:bookmarkEnd w:id="20"/>
    <w:bookmarkStart w:id="21" w:name="market-context-optometry-in-qatar-doha"/>
    <w:p>
      <w:pPr>
        <w:pStyle w:val="Heading2"/>
      </w:pPr>
      <w:r>
        <w:t xml:space="preserve">Market Context: Optometry in Qatar Doha</w:t>
      </w:r>
    </w:p>
    <w:p>
      <w:pPr>
        <w:pStyle w:val="FirstParagraph"/>
      </w:pPr>
      <w:r>
        <w:t xml:space="preserve">Doha's population growth (1.5% annually) and rising disposable incomes have created unprecedented demand for specialized eye care. The Qatar National Vision 2030 prioritizes healthcare excellence, resulting in a 37% increase in optometric service demand since 2019. As the primary hub for medical tourism in the Gulf, Doha attracts international patients seeking advanced ophthalmic services. Our</w:t>
      </w:r>
      <w:r>
        <w:t xml:space="preserve"> </w:t>
      </w:r>
      <w:r>
        <w:rPr>
          <w:bCs/>
          <w:b/>
        </w:rPr>
        <w:t xml:space="preserve">Optometrist</w:t>
      </w:r>
      <w:r>
        <w:t xml:space="preserve"> </w:t>
      </w:r>
      <w:r>
        <w:t xml:space="preserve">practice strategically targets three key segments: Qatari nationals (58% of clientele), GCC expatriates (32%), and medical tourists (10%). This report validates our market penetration strategy within the Qatar Doha ecosystem.</w:t>
      </w:r>
    </w:p>
    <w:bookmarkEnd w:id="21"/>
    <w:bookmarkStart w:id="22" w:name="sales-performance-analysis-q4-2023"/>
    <w:p>
      <w:pPr>
        <w:pStyle w:val="Heading2"/>
      </w:pPr>
      <w:r>
        <w:t xml:space="preserve">Sales Performance Analysis: Q4 2023</w:t>
      </w:r>
    </w:p>
    <w:p>
      <w:pPr>
        <w:pStyle w:val="FirstParagraph"/>
      </w:pPr>
      <w:r>
        <w:rPr>
          <w:bCs/>
          <w:b/>
        </w:rPr>
        <w:t xml:space="preserve">Total Revenue:</w:t>
      </w:r>
      <w:r>
        <w:t xml:space="preserve"> </w:t>
      </w:r>
      <w:r>
        <w:t xml:space="preserve">QR 856,400 (vs. QR 712,300 in Q3) - a remarkable 19.9% quarterly growth</w:t>
      </w:r>
    </w:p>
    <w:p>
      <w:pPr>
        <w:pStyle w:val="BodyText"/>
      </w:pPr>
      <w:r>
        <w:rPr>
          <w:bCs/>
          <w:b/>
        </w:rPr>
        <w:t xml:space="preserve">Service Breakdown by Revenue:</w:t>
      </w:r>
    </w:p>
    <w:p>
      <w:pPr>
        <w:numPr>
          <w:ilvl w:val="0"/>
          <w:numId w:val="1001"/>
        </w:numPr>
        <w:pStyle w:val="Compact"/>
      </w:pPr>
      <w:r>
        <w:rPr>
          <w:bCs/>
          <w:b/>
        </w:rPr>
        <w:t xml:space="preserve">Spectacle Prescriptions:</w:t>
      </w:r>
      <w:r>
        <w:t xml:space="preserve"> </w:t>
      </w:r>
      <w:r>
        <w:t xml:space="preserve">QR 428,500 (49.7% of total) - Driven by increased demand for designer frames and premium lens coatings</w:t>
      </w:r>
    </w:p>
    <w:p>
      <w:pPr>
        <w:numPr>
          <w:ilvl w:val="0"/>
          <w:numId w:val="1001"/>
        </w:numPr>
        <w:pStyle w:val="Compact"/>
      </w:pPr>
      <w:r>
        <w:rPr>
          <w:bCs/>
          <w:b/>
        </w:rPr>
        <w:t xml:space="preserve">Contact Lenses:</w:t>
      </w:r>
      <w:r>
        <w:t xml:space="preserve"> </w:t>
      </w:r>
      <w:r>
        <w:t xml:space="preserve">QR 218,600 (25.5%) - Surge in silicone hydrogel lenses among young professionals</w:t>
      </w:r>
    </w:p>
    <w:p>
      <w:pPr>
        <w:numPr>
          <w:ilvl w:val="0"/>
          <w:numId w:val="1001"/>
        </w:numPr>
        <w:pStyle w:val="Compact"/>
      </w:pPr>
      <w:r>
        <w:rPr>
          <w:bCs/>
          <w:b/>
        </w:rPr>
        <w:t xml:space="preserve">Advanced Diagnostics:</w:t>
      </w:r>
      <w:r>
        <w:t xml:space="preserve"> </w:t>
      </w:r>
      <w:r>
        <w:t xml:space="preserve">QR 143,200 (16.7%) - Including OCT scans and corneal topography services</w:t>
      </w:r>
    </w:p>
    <w:p>
      <w:pPr>
        <w:numPr>
          <w:ilvl w:val="0"/>
          <w:numId w:val="1001"/>
        </w:numPr>
        <w:pStyle w:val="Compact"/>
      </w:pPr>
      <w:r>
        <w:rPr>
          <w:bCs/>
          <w:b/>
        </w:rPr>
        <w:t xml:space="preserve">Pediatric Optometry:</w:t>
      </w:r>
      <w:r>
        <w:t xml:space="preserve"> </w:t>
      </w:r>
      <w:r>
        <w:t xml:space="preserve">QR 58,700 (6.8%) - Rising parental awareness of childhood vision disorders</w:t>
      </w:r>
    </w:p>
    <w:p>
      <w:pPr>
        <w:numPr>
          <w:ilvl w:val="0"/>
          <w:numId w:val="1001"/>
        </w:numPr>
        <w:pStyle w:val="Compact"/>
      </w:pPr>
      <w:r>
        <w:rPr>
          <w:bCs/>
          <w:b/>
        </w:rPr>
        <w:t xml:space="preserve">Vision Therapy:</w:t>
      </w:r>
      <w:r>
        <w:t xml:space="preserve"> </w:t>
      </w:r>
      <w:r>
        <w:t xml:space="preserve">QR 7,400 (0.9%) - Emerging service with high patient retention rates</w:t>
      </w:r>
    </w:p>
    <w:p>
      <w:pPr>
        <w:pStyle w:val="FirstParagraph"/>
      </w:pPr>
      <w:r>
        <w:t xml:space="preserve">Notable achievements include exceeding our quarterly target by 23% and securing three major corporate partnerships with Doha-based multinational firms for employee eye care programs. The average transaction value increased to QR 287 from QR 254 in Q3, indicating successful upselling of premium services.</w:t>
      </w:r>
    </w:p>
    <w:bookmarkEnd w:id="22"/>
    <w:bookmarkStart w:id="23" w:name="qatar-doha-specific-growth-drivers"/>
    <w:p>
      <w:pPr>
        <w:pStyle w:val="Heading2"/>
      </w:pPr>
      <w:r>
        <w:t xml:space="preserve">Qatar Doha-Specific Growth Drivers</w:t>
      </w:r>
    </w:p>
    <w:p>
      <w:pPr>
        <w:pStyle w:val="FirstParagraph"/>
      </w:pPr>
      <w:r>
        <w:t xml:space="preserve">Our sales success is intrinsically linked to Qatar's unique healthcare environment. The recent implementation of the National Eye Care Program by the Ministry of Public Health has created unprecedented awareness about preventive eye care. In Doha specifically:</w:t>
      </w:r>
    </w:p>
    <w:p>
      <w:pPr>
        <w:numPr>
          <w:ilvl w:val="0"/>
          <w:numId w:val="1002"/>
        </w:numPr>
        <w:pStyle w:val="Compact"/>
      </w:pPr>
      <w:r>
        <w:rPr>
          <w:bCs/>
          <w:b/>
        </w:rPr>
        <w:t xml:space="preserve">Government Initiatives:</w:t>
      </w:r>
      <w:r>
        <w:t xml:space="preserve"> </w:t>
      </w:r>
      <w:r>
        <w:t xml:space="preserve">Partnership with Hamad Medical Corporation for diabetic retinopathy screenings</w:t>
      </w:r>
    </w:p>
    <w:p>
      <w:pPr>
        <w:numPr>
          <w:ilvl w:val="0"/>
          <w:numId w:val="1002"/>
        </w:numPr>
        <w:pStyle w:val="Compact"/>
      </w:pPr>
      <w:r>
        <w:rPr>
          <w:bCs/>
          <w:b/>
        </w:rPr>
        <w:t xml:space="preserve">Cultural Alignment:</w:t>
      </w:r>
      <w:r>
        <w:t xml:space="preserve"> </w:t>
      </w:r>
      <w:r>
        <w:t xml:space="preserve">Introduction of modesty-friendly examination rooms meeting local Islamic norms</w:t>
      </w:r>
    </w:p>
    <w:p>
      <w:pPr>
        <w:numPr>
          <w:ilvl w:val="0"/>
          <w:numId w:val="1002"/>
        </w:numPr>
        <w:pStyle w:val="Compact"/>
      </w:pPr>
      <w:r>
        <w:rPr>
          <w:bCs/>
          <w:b/>
        </w:rPr>
        <w:t xml:space="preserve">Doha Infrastructure:</w:t>
      </w:r>
      <w:r>
        <w:t xml:space="preserve"> </w:t>
      </w:r>
      <w:r>
        <w:t xml:space="preserve">Strategic location near West Bay and Education City driving foot traffic</w:t>
      </w:r>
    </w:p>
    <w:p>
      <w:pPr>
        <w:numPr>
          <w:ilvl w:val="0"/>
          <w:numId w:val="1002"/>
        </w:numPr>
        <w:pStyle w:val="Compact"/>
      </w:pPr>
      <w:r>
        <w:rPr>
          <w:bCs/>
          <w:b/>
        </w:rPr>
        <w:t xml:space="preserve">Tourism Impact:</w:t>
      </w:r>
      <w:r>
        <w:t xml:space="preserve"> </w:t>
      </w:r>
      <w:r>
        <w:t xml:space="preserve">27% patient growth from international visitors attending events like FIFA World Cup 2022 and Qatar Economic Forum</w:t>
      </w:r>
    </w:p>
    <w:bookmarkEnd w:id="23"/>
    <w:bookmarkStart w:id="24" w:name="key-challenges-in-the-qatar-doha-market"/>
    <w:p>
      <w:pPr>
        <w:pStyle w:val="Heading2"/>
      </w:pPr>
      <w:r>
        <w:t xml:space="preserve">Key Challenges in the Qatar Doha Market</w:t>
      </w:r>
    </w:p>
    <w:p>
      <w:pPr>
        <w:pStyle w:val="FirstParagraph"/>
      </w:pPr>
      <w:r>
        <w:t xml:space="preserve">Despite strong growth, we identified critical challenges requiring strategic adaptation:</w:t>
      </w:r>
    </w:p>
    <w:p>
      <w:pPr>
        <w:numPr>
          <w:ilvl w:val="0"/>
          <w:numId w:val="1003"/>
        </w:numPr>
        <w:pStyle w:val="Compact"/>
      </w:pPr>
      <w:r>
        <w:rPr>
          <w:bCs/>
          <w:b/>
        </w:rPr>
        <w:t xml:space="preserve">Supply Chain Disruptions:</w:t>
      </w:r>
      <w:r>
        <w:t xml:space="preserve"> </w:t>
      </w:r>
      <w:r>
        <w:t xml:space="preserve">Import tariffs on premium lenses increased costs by 14%. Solution: Partnering with local distributors in Industrial Area 25 to reduce dependency on direct imports.</w:t>
      </w:r>
    </w:p>
    <w:p>
      <w:pPr>
        <w:numPr>
          <w:ilvl w:val="0"/>
          <w:numId w:val="1003"/>
        </w:numPr>
        <w:pStyle w:val="Compact"/>
      </w:pPr>
      <w:r>
        <w:rPr>
          <w:bCs/>
          <w:b/>
        </w:rPr>
        <w:t xml:space="preserve">Cultural Sensitivity Requirements:</w:t>
      </w:r>
      <w:r>
        <w:t xml:space="preserve"> </w:t>
      </w:r>
      <w:r>
        <w:t xml:space="preserve">Male optometrists reporting difficulties examining female patients from conservative backgrounds. Solution: Added four female</w:t>
      </w:r>
      <w:r>
        <w:t xml:space="preserve"> </w:t>
      </w:r>
      <w:r>
        <w:rPr>
          <w:bCs/>
          <w:b/>
        </w:rPr>
        <w:t xml:space="preserve">Optometrist</w:t>
      </w:r>
      <w:r>
        <w:t xml:space="preserve">s to our team, increasing female patient satisfaction by 41%.</w:t>
      </w:r>
    </w:p>
    <w:p>
      <w:pPr>
        <w:numPr>
          <w:ilvl w:val="0"/>
          <w:numId w:val="1003"/>
        </w:numPr>
        <w:pStyle w:val="Compact"/>
      </w:pPr>
      <w:r>
        <w:rPr>
          <w:bCs/>
          <w:b/>
        </w:rPr>
        <w:t xml:space="preserve">Competitive Pressure:</w:t>
      </w:r>
      <w:r>
        <w:t xml:space="preserve"> </w:t>
      </w:r>
      <w:r>
        <w:t xml:space="preserve">New clinics opening at 22% annual rate in Doha's upscale neighborhoods. Countermeasure: Launching the "Doha Vision Guardian" loyalty program with free annual check-ups for members.</w:t>
      </w:r>
    </w:p>
    <w:bookmarkEnd w:id="24"/>
    <w:bookmarkStart w:id="25" w:name="Xcfaeb391b6dc1e26e7db2e054c4f7cc5d021e4b"/>
    <w:p>
      <w:pPr>
        <w:pStyle w:val="Heading2"/>
      </w:pPr>
      <w:r>
        <w:t xml:space="preserve">Strategic Initiatives for Qatar Doha Market Expansion</w:t>
      </w:r>
    </w:p>
    <w:p>
      <w:pPr>
        <w:pStyle w:val="FirstParagraph"/>
      </w:pPr>
      <w:r>
        <w:t xml:space="preserve">This Sales Report identifies three priority growth vectors for our Doha operations:</w:t>
      </w:r>
    </w:p>
    <w:p>
      <w:pPr>
        <w:pStyle w:val="BodyText"/>
      </w:pPr>
      <w:r>
        <w:rPr>
          <w:bCs/>
          <w:b/>
        </w:rPr>
        <w:t xml:space="preserve">1. Digital Transformation:</w:t>
      </w:r>
      <w:r>
        <w:t xml:space="preserve"> </w:t>
      </w:r>
      <w:r>
        <w:t xml:space="preserve">Implementing the "Doha Eye Care" mobile app with Arabic/English interface, enabling online consultations and prescription renewals. Projected to increase repeat visits by 35% within 12 months.</w:t>
      </w:r>
    </w:p>
    <w:p>
      <w:pPr>
        <w:pStyle w:val="BodyText"/>
      </w:pPr>
      <w:r>
        <w:rPr>
          <w:bCs/>
          <w:b/>
        </w:rPr>
        <w:t xml:space="preserve">2. Community Health Integration:</w:t>
      </w:r>
      <w:r>
        <w:t xml:space="preserve"> </w:t>
      </w:r>
      <w:r>
        <w:t xml:space="preserve">Collaborating with Doha's Ministry of Education on school vision screening programs targeting 200,000 students across 15 schools in Q4 2024. This directly supports Qatar Vision 2030's education goals.</w:t>
      </w:r>
    </w:p>
    <w:p>
      <w:pPr>
        <w:pStyle w:val="BodyText"/>
      </w:pPr>
      <w:r>
        <w:rPr>
          <w:bCs/>
          <w:b/>
        </w:rPr>
        <w:t xml:space="preserve">3. Premium Service Differentiation:</w:t>
      </w:r>
      <w:r>
        <w:t xml:space="preserve"> </w:t>
      </w:r>
      <w:r>
        <w:t xml:space="preserve">Launching a "VIP Eye Care Concierge" service for Doha's elite, including airport pickup for international patients and private consultation rooms with Arabic-speaking staff. Initial pricing at QR 1,500/session (30% premium over standard services).</w:t>
      </w:r>
    </w:p>
    <w:bookmarkEnd w:id="25"/>
    <w:bookmarkStart w:id="26" w:name="financial-projections-sustainability"/>
    <w:p>
      <w:pPr>
        <w:pStyle w:val="Heading2"/>
      </w:pPr>
      <w:r>
        <w:t xml:space="preserve">Financial Projections &amp; Sustainability</w:t>
      </w:r>
    </w:p>
    <w:p>
      <w:pPr>
        <w:pStyle w:val="FirstParagraph"/>
      </w:pPr>
      <w:r>
        <w:t xml:space="preserve">Based on current momentum in Qatar Doha's healthcare market, our conservative forecast projects 31% revenue growth for Q1 2024. Critical to this projection is maintaining the highest standards of clinical care aligned with Qatar's health regulations while optimizing operational efficiency. Our cost structure analysis shows that expanding service offerings (particularly advanced diagnostics) generates 68% gross margins versus 52% for basic exams – reinforcing our strategic shift toward higher-value services within the</w:t>
      </w:r>
      <w:r>
        <w:t xml:space="preserve"> </w:t>
      </w:r>
      <w:r>
        <w:rPr>
          <w:bCs/>
          <w:b/>
        </w:rPr>
        <w:t xml:space="preserve">Optometrist</w:t>
      </w:r>
      <w:r>
        <w:t xml:space="preserve"> </w:t>
      </w:r>
      <w:r>
        <w:t xml:space="preserve">practice model.</w:t>
      </w:r>
    </w:p>
    <w:bookmarkEnd w:id="26"/>
    <w:bookmarkStart w:id="27" w:name="X1f3565f24a257703743fd304ed10466b04e43ef"/>
    <w:p>
      <w:pPr>
        <w:pStyle w:val="Heading2"/>
      </w:pPr>
      <w:r>
        <w:t xml:space="preserve">Conclusion: The Future of Optometry in Qatar Doha</w:t>
      </w:r>
    </w:p>
    <w:p>
      <w:pPr>
        <w:pStyle w:val="FirstParagraph"/>
      </w:pPr>
      <w:r>
        <w:t xml:space="preserve">This comprehensive Sales Report confirms that our Doha-based optometry practice is not merely keeping pace with Qatar's healthcare evolution—it is actively shaping it. The unique convergence of Vision 2030 priorities, growing medical tourism infrastructure, and increasing health literacy among Qatari citizens has created an optimal environment for specialized eye care providers. As the market matures, our continued investment in culturally intelligent service delivery and premium diagnostic capabilities will solidify our position as the premier</w:t>
      </w:r>
      <w:r>
        <w:t xml:space="preserve"> </w:t>
      </w:r>
      <w:r>
        <w:rPr>
          <w:bCs/>
          <w:b/>
        </w:rPr>
        <w:t xml:space="preserve">Optometrist</w:t>
      </w:r>
      <w:r>
        <w:t xml:space="preserve"> </w:t>
      </w:r>
      <w:r>
        <w:t xml:space="preserve">practice in Qatar Doha.</w:t>
      </w:r>
    </w:p>
    <w:p>
      <w:pPr>
        <w:pStyle w:val="BodyText"/>
      </w:pPr>
      <w:r>
        <w:t xml:space="preserve">Moving forward, we recommend allocating 20% of annual revenue to community health initiatives aligned with Qatar National Vision 2030, reinforcing our commitment to Doha's long-term healthcare ecosystem. The data presented in this report unequivocally demonstrates that strategic adaptation to Qatar Doha's specific market dynamics—not generic global approaches—is the foundation for sustainable growth in optometric services. We are confident that by maintaining this localized focus, our practice will continue delivering exceptional eye care while achieving significant commercial success within the Qatari healthcare landscape.</w:t>
      </w:r>
    </w:p>
    <w:p>
      <w:pPr>
        <w:pStyle w:val="BodyText"/>
      </w:pPr>
      <w:r>
        <w:rPr>
          <w:iCs/>
          <w:i/>
        </w:rPr>
        <w:t xml:space="preserve">Prepared for: Qatar Healthcare Management Committee</w:t>
      </w:r>
      <w:r>
        <w:br/>
      </w:r>
      <w:r>
        <w:rPr>
          <w:iCs/>
          <w:i/>
        </w:rPr>
        <w:t xml:space="preserve">Date: January 15, 2024</w:t>
      </w:r>
      <w:r>
        <w:br/>
      </w:r>
      <w:r>
        <w:rPr>
          <w:iCs/>
          <w:i/>
        </w:rPr>
        <w:t xml:space="preserve">Prepared By: Doha Optometry Group Sales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Optometrist Sales Report</dc:title>
  <dc:creator/>
  <dc:language>en</dc:language>
  <cp:keywords/>
  <dcterms:created xsi:type="dcterms:W3CDTF">2026-07-23T00:56:06Z</dcterms:created>
  <dcterms:modified xsi:type="dcterms:W3CDTF">2026-07-23T00:56:06Z</dcterms:modified>
</cp:coreProperties>
</file>

<file path=docProps/custom.xml><?xml version="1.0" encoding="utf-8"?>
<Properties xmlns="http://schemas.openxmlformats.org/officeDocument/2006/custom-properties" xmlns:vt="http://schemas.openxmlformats.org/officeDocument/2006/docPropsVTypes"/>
</file>