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Russia</w:t>
      </w:r>
      <w:r>
        <w:t xml:space="preserve"> </w:t>
      </w:r>
      <w:r>
        <w:t xml:space="preserve">Moscow</w:t>
      </w:r>
    </w:p>
    <w:bookmarkStart w:id="27" w:name="Xdcdc4f8367d6cbc491219dd30205609b3997407"/>
    <w:p>
      <w:pPr>
        <w:pStyle w:val="Heading1"/>
      </w:pPr>
      <w:r>
        <w:t xml:space="preserve">Comprehensive Sales Report: Optometrist Service Performance Analysis in Russia Moscow (Q3 2023)</w:t>
      </w:r>
    </w:p>
    <w:bookmarkStart w:id="20" w:name="executive-summary"/>
    <w:p>
      <w:pPr>
        <w:pStyle w:val="Heading2"/>
      </w:pPr>
      <w:r>
        <w:t xml:space="preserve">Executive Summary</w:t>
      </w:r>
    </w:p>
    <w:p>
      <w:pPr>
        <w:pStyle w:val="FirstParagraph"/>
      </w:pPr>
      <w:r>
        <w:t xml:space="preserve">This Sales Report details the operational and financial performance of our premier optometry practice across Moscow, Russia. Covering the third quarter of 2023, it demonstrates robust growth in patient acquisition, service diversification, and market penetration within the highly competitive optical healthcare landscape of Russia Moscow. The report confirms that strategic localization of our Optometrist services has significantly outperformed regional benchmarks by 18.7%, establishing new revenue streams while addressing critical eye health needs unique to Moscow's urban demographic.</w:t>
      </w:r>
    </w:p>
    <w:bookmarkEnd w:id="20"/>
    <w:bookmarkStart w:id="21" w:name="key-performance-indicators-q3-2023"/>
    <w:p>
      <w:pPr>
        <w:pStyle w:val="Heading2"/>
      </w:pPr>
      <w:r>
        <w:t xml:space="preserve">Key Performance Indicators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Patient Visits</w:t>
      </w:r>
    </w:p>
    <w:p>
      <w:pPr>
        <w:pStyle w:val="BodyText"/>
      </w:pPr>
      <w:r>
        <w:t xml:space="preserve">14,850</w:t>
      </w:r>
    </w:p>
    <w:p>
      <w:pPr>
        <w:pStyle w:val="BodyText"/>
      </w:pPr>
      <w:r>
        <w:t xml:space="preserve">12,375</w:t>
      </w:r>
    </w:p>
    <w:p>
      <w:pPr>
        <w:pStyle w:val="BodyText"/>
      </w:pPr>
      <w:r>
        <w:t xml:space="preserve">+20.0%</w:t>
      </w:r>
    </w:p>
    <w:p>
      <w:pPr>
        <w:pStyle w:val="BodyText"/>
      </w:pPr>
      <w:r>
        <w:t xml:space="preserve">Average Revenue Per Visit (ARPU)</w:t>
      </w:r>
    </w:p>
    <w:p>
      <w:pPr>
        <w:pStyle w:val="BodyText"/>
      </w:pPr>
      <w:r>
        <w:t xml:space="preserve">₽3,875</w:t>
      </w:r>
    </w:p>
    <w:p>
      <w:pPr>
        <w:pStyle w:val="BodyText"/>
      </w:pPr>
      <w:r>
        <w:t xml:space="preserve">₽3,610</w:t>
      </w:r>
    </w:p>
    <w:p>
      <w:pPr>
        <w:pStyle w:val="BodyText"/>
      </w:pPr>
      <w:r>
        <w:t xml:space="preserve">&lt;</w:t>
      </w:r>
    </w:p>
    <w:p>
      <w:pPr>
        <w:pStyle w:val="BodyText"/>
      </w:pPr>
      <w:r>
        <w:t xml:space="preserve">+7.3%</w:t>
      </w:r>
    </w:p>
    <w:p>
      <w:pPr>
        <w:pStyle w:val="BodyText"/>
      </w:pPr>
      <w:r>
        <w:t xml:space="preserve">Glasses &amp; Lenses Sales</w:t>
      </w:r>
    </w:p>
    <w:p>
      <w:pPr>
        <w:pStyle w:val="BodyText"/>
      </w:pPr>
      <w:r>
        <w:t xml:space="preserve">₽2.1M</w:t>
      </w:r>
    </w:p>
    <w:p>
      <w:pPr>
        <w:pStyle w:val="BodyText"/>
      </w:pPr>
      <w:r>
        <w:t xml:space="preserve">₽1.75M</w:t>
      </w:r>
    </w:p>
    <w:p>
      <w:pPr>
        <w:pStyle w:val="BodyText"/>
      </w:pPr>
      <w:r>
        <w:t xml:space="preserve">Digital Eye Health Consultations (+45%)</w:t>
      </w:r>
    </w:p>
    <w:p>
      <w:pPr>
        <w:pStyle w:val="BodyText"/>
      </w:pPr>
      <w:r>
        <w:t xml:space="preserve">₦890,000</w:t>
      </w:r>
    </w:p>
    <w:p>
      <w:pPr>
        <w:pStyle w:val="BodyText"/>
      </w:pPr>
      <w:r>
        <w:t xml:space="preserve">The 23% increase in patient volume directly correlates with our targeted expansion of Optometrist services across Moscow's districts. Notably, digital eye exams saw a 45% surge as Moscow residents increasingly prioritize preventative care amid rising screen-time exposure from remote work culture.</w:t>
      </w:r>
    </w:p>
    <w:bookmarkEnd w:id="21"/>
    <w:bookmarkStart w:id="22" w:name="X69b6327d7b4589c3c6c814ecfa267eb7e464818"/>
    <w:p>
      <w:pPr>
        <w:pStyle w:val="Heading2"/>
      </w:pPr>
      <w:r>
        <w:t xml:space="preserve">Market Analysis: Russia Moscow Eye Health Landscape</w:t>
      </w:r>
    </w:p>
    <w:p>
      <w:pPr>
        <w:pStyle w:val="FirstParagraph"/>
      </w:pPr>
      <w:r>
        <w:t xml:space="preserve">The Russian optometry market in Moscow demonstrates exceptional growth potential driven by three critical factors:</w:t>
      </w:r>
    </w:p>
    <w:p>
      <w:pPr>
        <w:numPr>
          <w:ilvl w:val="0"/>
          <w:numId w:val="1001"/>
        </w:numPr>
        <w:pStyle w:val="Compact"/>
      </w:pPr>
      <w:r>
        <w:rPr>
          <w:bCs/>
          <w:b/>
        </w:rPr>
        <w:t xml:space="preserve">Urbanization Pressures:</w:t>
      </w:r>
      <w:r>
        <w:t xml:space="preserve"> </w:t>
      </w:r>
      <w:r>
        <w:t xml:space="preserve">13.4 million residents in Moscow face heightened digital eye strain (78% report symptoms per 2023 Rosstat survey). Our Optometrist clinics strategically deployed near metro hubs (e.g., Park Pobedy, Krasnaya Presnya) captured this demand spike.</w:t>
      </w:r>
    </w:p>
    <w:p>
      <w:pPr>
        <w:numPr>
          <w:ilvl w:val="0"/>
          <w:numId w:val="1001"/>
        </w:numPr>
        <w:pStyle w:val="Compact"/>
      </w:pPr>
      <w:r>
        <w:rPr>
          <w:bCs/>
          <w:b/>
        </w:rPr>
        <w:t xml:space="preserve">Regulatory Shifts:</w:t>
      </w:r>
      <w:r>
        <w:t xml:space="preserve"> </w:t>
      </w:r>
      <w:r>
        <w:t xml:space="preserve">New Russian Federal Law No. 56-FZ (effective Jan 2023) mandates annual eye screenings for children in Moscow schools. This legislation created a dedicated B2G revenue stream, generating ₽1.4M in Q3 from municipal contracts.</w:t>
      </w:r>
    </w:p>
    <w:p>
      <w:pPr>
        <w:numPr>
          <w:ilvl w:val="0"/>
          <w:numId w:val="1001"/>
        </w:numPr>
        <w:pStyle w:val="Compact"/>
      </w:pPr>
      <w:r>
        <w:rPr>
          <w:bCs/>
          <w:b/>
        </w:rPr>
        <w:t xml:space="preserve">Competitive Differentiation:</w:t>
      </w:r>
      <w:r>
        <w:t xml:space="preserve"> </w:t>
      </w:r>
      <w:r>
        <w:t xml:space="preserve">Unlike traditional optical chains offering only glasses sales, our certified Optometrist staff provide comprehensive diagnostics (retinal scans, glaucoma screening), increasing service value by 32% vs. competitors.</w:t>
      </w:r>
    </w:p>
    <w:bookmarkEnd w:id="22"/>
    <w:bookmarkStart w:id="23" w:name="X46f8328cdaa277782b10b539dc2a52e95f3fa51"/>
    <w:p>
      <w:pPr>
        <w:pStyle w:val="Heading2"/>
      </w:pPr>
      <w:r>
        <w:t xml:space="preserve">Customer Insights: Moscow Demographic Breakdown</w:t>
      </w:r>
    </w:p>
    <w:p>
      <w:pPr>
        <w:pStyle w:val="FirstParagraph"/>
      </w:pPr>
      <w:r>
        <w:t xml:space="preserve">Data from Moscow patient surveys reveals unique behavioral patterns:</w:t>
      </w:r>
    </w:p>
    <w:p>
      <w:pPr>
        <w:pStyle w:val="BodyText"/>
      </w:pPr>
      <w:r>
        <w:t xml:space="preserve">Segment</w:t>
      </w:r>
    </w:p>
    <w:p>
      <w:pPr>
        <w:pStyle w:val="BodyText"/>
      </w:pPr>
      <w:r>
        <w:t xml:space="preserve">Share of Visits</w:t>
      </w:r>
    </w:p>
    <w:p>
      <w:pPr>
        <w:pStyle w:val="BodyText"/>
      </w:pPr>
      <w:r>
        <w:t xml:space="preserve">Primary Service Demand</w:t>
      </w:r>
    </w:p>
    <w:p>
      <w:pPr>
        <w:pStyle w:val="BodyText"/>
      </w:pPr>
      <w:r>
        <w:t xml:space="preserve">Working Professionals (25-45)</w:t>
      </w:r>
    </w:p>
    <w:p>
      <w:pPr>
        <w:pStyle w:val="BodyText"/>
      </w:pPr>
      <w:r>
        <w:t xml:space="preserve">48%</w:t>
      </w:r>
    </w:p>
    <w:p>
      <w:pPr>
        <w:pStyle w:val="BodyText"/>
      </w:pPr>
      <w:r>
        <w:t xml:space="preserve">Digital Eye Health Assessments, Blue Light Glasses</w:t>
      </w:r>
    </w:p>
    <w:p>
      <w:pPr>
        <w:pStyle w:val="BodyText"/>
      </w:pPr>
      <w:r>
        <w:t xml:space="preserve">Children &amp; Teens (6-18)</w:t>
      </w:r>
    </w:p>
    <w:p>
      <w:pPr>
        <w:pStyle w:val="BodyText"/>
      </w:pPr>
      <w:r>
        <w:t xml:space="preserve">31%</w:t>
      </w:r>
    </w:p>
    <w:p>
      <w:pPr>
        <w:pStyle w:val="BodyText"/>
      </w:pPr>
      <w:r>
        <w:t xml:space="preserve">School Screening Packages, Myopia Control</w:t>
      </w:r>
    </w:p>
    <w:p>
      <w:pPr>
        <w:pStyle w:val="BodyText"/>
      </w:pPr>
      <w:r>
        <w:t xml:space="preserve">Seniors (65+)</w:t>
      </w:r>
    </w:p>
    <w:p>
      <w:pPr>
        <w:pStyle w:val="BodyText"/>
      </w:pPr>
      <w:r>
        <w:t xml:space="preserve">21%</w:t>
      </w:r>
    </w:p>
    <w:p>
      <w:pPr>
        <w:pStyle w:val="BodyText"/>
      </w:pPr>
      <w:r>
        <w:t xml:space="preserve">Cataract Pre-Checks, Low-Vision Aids</w:t>
      </w:r>
    </w:p>
    <w:p>
      <w:pPr>
        <w:pStyle w:val="BodyText"/>
      </w:pPr>
      <w:r>
        <w:t xml:space="preserve">The 48% professional segment drives revenue intensity—these patients book 2.3x more premium services (e.g., progressive lenses, anti-reflective coatings) than other groups. Our Moscow-based Optometrist team adapted protocols to include "Workplace Vision Optimization" packages, directly addressing corporate wellness contracts with 17 major tech firms in the city.</w:t>
      </w:r>
    </w:p>
    <w:bookmarkEnd w:id="23"/>
    <w:bookmarkStart w:id="24" w:name="service-portfolio-performance"/>
    <w:p>
      <w:pPr>
        <w:pStyle w:val="Heading2"/>
      </w:pPr>
      <w:r>
        <w:t xml:space="preserve">Service Portfolio Performance</w:t>
      </w:r>
    </w:p>
    <w:p>
      <w:pPr>
        <w:pStyle w:val="FirstParagraph"/>
      </w:pPr>
      <w:r>
        <w:t xml:space="preserve">Our Optometrist services revenue split reveals strategic success:</w:t>
      </w:r>
    </w:p>
    <w:p>
      <w:pPr>
        <w:numPr>
          <w:ilvl w:val="0"/>
          <w:numId w:val="1002"/>
        </w:numPr>
        <w:pStyle w:val="Compact"/>
      </w:pPr>
      <w:r>
        <w:rPr>
          <w:bCs/>
          <w:b/>
        </w:rPr>
        <w:t xml:space="preserve">Diagnostic Services (52% of revenue):</w:t>
      </w:r>
      <w:r>
        <w:t xml:space="preserve"> </w:t>
      </w:r>
      <w:r>
        <w:t xml:space="preserve">Retinal imaging and visual field testing grew 31% YoY. This high-margin segment now outperforms lens sales in profitability, a key shift from industry norms.</w:t>
      </w:r>
    </w:p>
    <w:p>
      <w:pPr>
        <w:numPr>
          <w:ilvl w:val="0"/>
          <w:numId w:val="1002"/>
        </w:numPr>
        <w:pStyle w:val="Compact"/>
      </w:pPr>
      <w:r>
        <w:rPr>
          <w:bCs/>
          <w:b/>
        </w:rPr>
        <w:t xml:space="preserve">Prescription Eyewear (38%):</w:t>
      </w:r>
      <w:r>
        <w:t xml:space="preserve"> </w:t>
      </w:r>
      <w:r>
        <w:t xml:space="preserve">Demand surged for Moscow-specific products: UV-protective lenses (27% higher volume) and sport eyewear tailored for winter conditions (54% growth).</w:t>
      </w:r>
    </w:p>
    <w:p>
      <w:pPr>
        <w:numPr>
          <w:ilvl w:val="0"/>
          <w:numId w:val="1002"/>
        </w:numPr>
        <w:pStyle w:val="Compact"/>
      </w:pPr>
      <w:r>
        <w:rPr>
          <w:bCs/>
          <w:b/>
        </w:rPr>
        <w:t xml:space="preserve">Preventative Programs (10%):</w:t>
      </w:r>
      <w:r>
        <w:t xml:space="preserve"> </w:t>
      </w:r>
      <w:r>
        <w:t xml:space="preserve">School screenings and corporate wellness packages delivered 92% client retention—critical in Russia Moscow's competitive healthcare environment.</w:t>
      </w:r>
    </w:p>
    <w:bookmarkEnd w:id="24"/>
    <w:bookmarkStart w:id="25" w:name="challenges-strategic-opportunities"/>
    <w:p>
      <w:pPr>
        <w:pStyle w:val="Heading2"/>
      </w:pPr>
      <w:r>
        <w:t xml:space="preserve">Challenges &amp; Strategic Opportunities</w:t>
      </w:r>
    </w:p>
    <w:p>
      <w:pPr>
        <w:pStyle w:val="FirstParagraph"/>
      </w:pPr>
      <w:r>
        <w:t xml:space="preserve">Despite strong performance, two challenges require immediate action:</w:t>
      </w:r>
    </w:p>
    <w:p>
      <w:pPr>
        <w:numPr>
          <w:ilvl w:val="0"/>
          <w:numId w:val="1003"/>
        </w:numPr>
        <w:pStyle w:val="Compact"/>
      </w:pPr>
      <w:r>
        <w:rPr>
          <w:bCs/>
          <w:b/>
        </w:rPr>
        <w:t xml:space="preserve">Clinic Capacity Constraints:</w:t>
      </w:r>
      <w:r>
        <w:t xml:space="preserve"> </w:t>
      </w:r>
      <w:r>
        <w:t xml:space="preserve">85% of Moscow patients now book appointments 14+ days in advance during peak hours (9-12 AM). We’re implementing a tiered reservation system with dedicated slots for urgent cases, targeting 30% faster access by Q1 2024.</w:t>
      </w:r>
    </w:p>
    <w:p>
      <w:pPr>
        <w:numPr>
          <w:ilvl w:val="0"/>
          <w:numId w:val="1003"/>
        </w:numPr>
        <w:pStyle w:val="Compact"/>
      </w:pPr>
      <w:r>
        <w:rPr>
          <w:bCs/>
          <w:b/>
        </w:rPr>
        <w:t xml:space="preserve">Supply Chain for Premium Lenses:</w:t>
      </w:r>
      <w:r>
        <w:t xml:space="preserve"> </w:t>
      </w:r>
      <w:r>
        <w:t xml:space="preserve">Russian import restrictions delayed high-index lens shipments by 45 days. Our solution: Partnering with Moscow-based manufacturer "OptikaM" to source custom lenses within 7 business days, reducing patient wait times by 60%.</w:t>
      </w:r>
    </w:p>
    <w:p>
      <w:pPr>
        <w:pStyle w:val="FirstParagraph"/>
      </w:pPr>
      <w:r>
        <w:t xml:space="preserve">Opportunities to capitalize on include:</w:t>
      </w:r>
    </w:p>
    <w:p>
      <w:pPr>
        <w:numPr>
          <w:ilvl w:val="0"/>
          <w:numId w:val="1004"/>
        </w:numPr>
        <w:pStyle w:val="Compact"/>
      </w:pPr>
      <w:r>
        <w:rPr>
          <w:bCs/>
          <w:b/>
        </w:rPr>
        <w:t xml:space="preserve">Tele-Optometry Expansion:</w:t>
      </w:r>
      <w:r>
        <w:t xml:space="preserve"> </w:t>
      </w:r>
      <w:r>
        <w:t xml:space="preserve">Partnering with Moscow's largest healthcare app (ZdravCity) for virtual Optometrist consultations—projected to capture 20% of Moscow’s 1.8M potential remote patients.</w:t>
      </w:r>
    </w:p>
    <w:p>
      <w:pPr>
        <w:numPr>
          <w:ilvl w:val="0"/>
          <w:numId w:val="1004"/>
        </w:numPr>
        <w:pStyle w:val="Compact"/>
      </w:pPr>
      <w:r>
        <w:rPr>
          <w:bCs/>
          <w:b/>
        </w:rPr>
        <w:t xml:space="preserve">Military Health Contracts:</w:t>
      </w:r>
      <w:r>
        <w:t xml:space="preserve"> </w:t>
      </w:r>
      <w:r>
        <w:t xml:space="preserve">Leveraging Russia's new defense sector health initiative to provide eye care for military personnel across Moscow garrison zones.</w:t>
      </w:r>
    </w:p>
    <w:bookmarkEnd w:id="25"/>
    <w:bookmarkStart w:id="26" w:name="conclusion-strategic-roadmap"/>
    <w:p>
      <w:pPr>
        <w:pStyle w:val="Heading2"/>
      </w:pPr>
      <w:r>
        <w:t xml:space="preserve">Conclusion &amp; Strategic Roadmap</w:t>
      </w:r>
    </w:p>
    <w:p>
      <w:pPr>
        <w:pStyle w:val="FirstParagraph"/>
      </w:pPr>
      <w:r>
        <w:t xml:space="preserve">This Sales Report affirms that our Optometrist business model is perfectly aligned with Moscow’s evolving eye health ecosystem. The 31% YoY growth in diagnostic services proves demand for professional, data-driven eye care—not just optical retail—has reached a critical mass in Russia Moscow. As we enter Q4 2023, the following priorities will drive sustainable leadership:</w:t>
      </w:r>
    </w:p>
    <w:p>
      <w:pPr>
        <w:numPr>
          <w:ilvl w:val="0"/>
          <w:numId w:val="1005"/>
        </w:numPr>
        <w:pStyle w:val="Compact"/>
      </w:pPr>
      <w:r>
        <w:t xml:space="preserve">Deploy mobile Optometrist units to reach underserved Moscow neighborhoods (e.g., Eastern Districts), targeting 500 new patients by year-end.</w:t>
      </w:r>
    </w:p>
    <w:p>
      <w:pPr>
        <w:numPr>
          <w:ilvl w:val="0"/>
          <w:numId w:val="1005"/>
        </w:numPr>
        <w:pStyle w:val="Compact"/>
      </w:pPr>
      <w:r>
        <w:t xml:space="preserve">Launch "Moscow Vision Health Index" — a free annual eye strain report for city residents, enhancing community trust while generating lead data.</w:t>
      </w:r>
    </w:p>
    <w:p>
      <w:pPr>
        <w:numPr>
          <w:ilvl w:val="0"/>
          <w:numId w:val="1005"/>
        </w:numPr>
        <w:pStyle w:val="Compact"/>
      </w:pPr>
      <w:r>
        <w:t xml:space="preserve">Integrate AI-powered retinal analysis into all Moscow clinics, reducing diagnosis time by 40% and positioning us as Russia's tech-forward Optometrist leader.</w:t>
      </w:r>
    </w:p>
    <w:p>
      <w:pPr>
        <w:pStyle w:val="FirstParagraph"/>
      </w:pPr>
      <w:r>
        <w:t xml:space="preserve">With Moscow’s population aging rapidly and digital lifestyle exposure increasing, the demand for expert Optometrist services will continue to surge. This Sales Report confirms our strategic focus on clinical excellence—beyond retail optics—is delivering market leadership in Russia’s most competitive optical healthcare market. We project 35% revenue growth for 2024 by doubling down on Moscow-centric innovation.</w:t>
      </w:r>
    </w:p>
    <w:p>
      <w:pPr>
        <w:pStyle w:val="BodyText"/>
      </w:pPr>
      <w:r>
        <w:rPr>
          <w:bCs/>
          <w:b/>
        </w:rPr>
        <w:t xml:space="preserve">Prepared By:</w:t>
      </w:r>
      <w:r>
        <w:t xml:space="preserve"> </w:t>
      </w:r>
      <w:r>
        <w:t xml:space="preserve">Moscow Optometry Analytics Division</w:t>
      </w:r>
    </w:p>
    <w:p>
      <w:pPr>
        <w:pStyle w:val="BodyText"/>
      </w:pP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Russia Moscow</dc:title>
  <dc:creator/>
  <dc:language>en</dc:language>
  <cp:keywords/>
  <dcterms:created xsi:type="dcterms:W3CDTF">2026-07-21T02:57:25Z</dcterms:created>
  <dcterms:modified xsi:type="dcterms:W3CDTF">2026-07-21T02:57:25Z</dcterms:modified>
</cp:coreProperties>
</file>

<file path=docProps/custom.xml><?xml version="1.0" encoding="utf-8"?>
<Properties xmlns="http://schemas.openxmlformats.org/officeDocument/2006/custom-properties" xmlns:vt="http://schemas.openxmlformats.org/officeDocument/2006/docPropsVTypes"/>
</file>