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Optometrist</w:t>
      </w:r>
      <w:r>
        <w:t xml:space="preserve"> </w:t>
      </w:r>
      <w:r>
        <w:t xml:space="preserve">Practice</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39762c124b4b84259e8cae3258b0d8f15ef3652"/>
    <w:p>
      <w:pPr>
        <w:pStyle w:val="Heading1"/>
      </w:pPr>
      <w:r>
        <w:t xml:space="preserve">Comprehensive Sales Performance Report: Optometrist Practice in Riyadh, Saudi Arabia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Riyadh Eye Care Group</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details the operational and financial performance of our optometrist practice within Saudi Arabia Riyadh. As a leading eye care provider in the region, our practice has demonstrated robust growth with a 18% increase in revenue compared to Q3 2022. The success is directly attributable to strategic alignment with Riyadh's evolving healthcare market demands and culturally sensitive patient engagement practices. This document serves as both a performance assessment and roadmap for expanding our optometrist services across Saudi Arabia, with particular focus on Riyadh's unique demographic dynamics.</w:t>
      </w:r>
    </w:p>
    <w:bookmarkEnd w:id="20"/>
    <w:bookmarkStart w:id="21" w:name="X7a3b9757101b1d86da0339cee089c5da0faeb04"/>
    <w:p>
      <w:pPr>
        <w:pStyle w:val="Heading2"/>
      </w:pPr>
      <w:r>
        <w:t xml:space="preserve">II. Market Context: Optometry in Saudi Arabia Riyadh</w:t>
      </w:r>
    </w:p>
    <w:p>
      <w:pPr>
        <w:pStyle w:val="FirstParagraph"/>
      </w:pPr>
      <w:r>
        <w:t xml:space="preserve">Riyadh's population of 7.5 million presents an exceptional opportunity for optometric services, driven by rapid urbanization and government healthcare initiatives like Vision 2030. Our market analysis confirms that 43% of Riyadh residents require corrective eyewear, yet only 19% regularly access professional eye care – indicating significant untapped potential. The Saudi Central Bank's recent investment in healthcare infrastructure has accelerated demand for premium optometrist services, particularly among expatriate communities and affluent local families. This report underscores how our practice has capitalized on Riyadh's growth trajectory while adhering to strict Saudi regulatory standards.</w:t>
      </w:r>
    </w:p>
    <w:bookmarkEnd w:id="21"/>
    <w:bookmarkStart w:id="22" w:name="X3665ee6a4961a88827714b8d8f7bf0b0cd472f8"/>
    <w:p>
      <w:pPr>
        <w:pStyle w:val="Heading2"/>
      </w:pPr>
      <w:r>
        <w:t xml:space="preserve">III. Sales Performance Highlights (Jan-Sep 2023)</w:t>
      </w:r>
    </w:p>
    <w:p>
      <w:pPr>
        <w:pStyle w:val="FirstParagraph"/>
      </w:pPr>
      <w:r>
        <w:t xml:space="preserve">Category</w:t>
      </w:r>
    </w:p>
    <w:p>
      <w:pPr>
        <w:pStyle w:val="BodyText"/>
      </w:pPr>
      <w:r>
        <w:t xml:space="preserve">Q1 2023</w:t>
      </w:r>
    </w:p>
    <w:p>
      <w:pPr>
        <w:pStyle w:val="BodyText"/>
      </w:pPr>
      <w:r>
        <w:t xml:space="preserve">Q3 2023</w:t>
      </w:r>
    </w:p>
    <w:p>
      <w:pPr>
        <w:pStyle w:val="BodyText"/>
      </w:pPr>
      <w:r>
        <w:t xml:space="preserve">Growth %</w:t>
      </w:r>
    </w:p>
    <w:p>
      <w:pPr>
        <w:pStyle w:val="BodyText"/>
      </w:pPr>
      <w:r>
        <w:rPr>
          <w:bCs/>
          <w:b/>
        </w:rPr>
        <w:t xml:space="preserve">Eyewear Sales (Frames + Lenses)</w:t>
      </w:r>
    </w:p>
    <w:p>
      <w:pPr>
        <w:pStyle w:val="BodyText"/>
      </w:pPr>
      <w:r>
        <w:t xml:space="preserve">SAR 185,000</w:t>
      </w:r>
    </w:p>
    <w:p>
      <w:pPr>
        <w:pStyle w:val="BodyText"/>
      </w:pPr>
      <w:r>
        <w:t xml:space="preserve">SAR 267,400</w:t>
      </w:r>
    </w:p>
    <w:p>
      <w:pPr>
        <w:pStyle w:val="BodyText"/>
      </w:pPr>
      <w:r>
        <w:t xml:space="preserve">44.5%</w:t>
      </w:r>
    </w:p>
    <w:p>
      <w:pPr>
        <w:pStyle w:val="BodyText"/>
      </w:pPr>
      <w:r>
        <w:rPr>
          <w:bCs/>
          <w:b/>
        </w:rPr>
        <w:t xml:space="preserve">Contact Lens Distribution</w:t>
      </w:r>
    </w:p>
    <w:p>
      <w:pPr>
        <w:pStyle w:val="BodyText"/>
      </w:pPr>
      <w:r>
        <w:t xml:space="preserve">SAR 92,300</w:t>
      </w:r>
    </w:p>
    <w:p>
      <w:pPr>
        <w:pStyle w:val="BodyText"/>
      </w:pPr>
      <w:r>
        <w:t xml:space="preserve">SAR 138,750</w:t>
      </w:r>
    </w:p>
    <w:p>
      <w:pPr>
        <w:pStyle w:val="BodyText"/>
      </w:pPr>
      <w:r>
        <w:t xml:space="preserve">50.3%</w:t>
      </w:r>
    </w:p>
    <w:p>
      <w:pPr>
        <w:pStyle w:val="BodyText"/>
      </w:pPr>
      <w:r>
        <w:rPr>
          <w:bCs/>
          <w:b/>
        </w:rPr>
        <w:t xml:space="preserve">Comprehensive Eye Examinations</w:t>
      </w:r>
    </w:p>
    <w:p>
      <w:pPr>
        <w:pStyle w:val="BodyText"/>
      </w:pPr>
      <w:r>
        <w:t xml:space="preserve">SAR 124,600</w:t>
      </w:r>
    </w:p>
    <w:p>
      <w:pPr>
        <w:pStyle w:val="BodyText"/>
      </w:pPr>
      <w:r>
        <w:t xml:space="preserve">SAR 189,200</w:t>
      </w:r>
    </w:p>
    <w:p>
      <w:pPr>
        <w:pStyle w:val="BodyText"/>
      </w:pPr>
      <w:r>
        <w:t xml:space="preserve">51.8%</w:t>
      </w:r>
    </w:p>
    <w:p>
      <w:pPr>
        <w:pStyle w:val="BodyText"/>
      </w:pPr>
      <w:r>
        <w:rPr>
          <w:bCs/>
          <w:b/>
        </w:rPr>
        <w:t xml:space="preserve">TOTAL SALES</w:t>
      </w:r>
    </w:p>
    <w:p>
      <w:pPr>
        <w:pStyle w:val="BodyText"/>
      </w:pPr>
      <w:r>
        <w:rPr>
          <w:bCs/>
          <w:b/>
        </w:rPr>
        <w:t xml:space="preserve">SAR 401,900</w:t>
      </w:r>
    </w:p>
    <w:p>
      <w:pPr>
        <w:pStyle w:val="BodyText"/>
      </w:pPr>
      <w:r>
        <w:rPr>
          <w:bCs/>
          <w:b/>
        </w:rPr>
        <w:t xml:space="preserve">SAR 595,350</w:t>
      </w:r>
    </w:p>
    <w:p>
      <w:pPr>
        <w:pStyle w:val="BodyText"/>
      </w:pPr>
      <w:r>
        <w:rPr>
          <w:bCs/>
          <w:b/>
        </w:rPr>
        <w:t xml:space="preserve">48.2%</w:t>
      </w:r>
    </w:p>
    <w:p>
      <w:pPr>
        <w:pStyle w:val="BodyText"/>
      </w:pPr>
      <w:r>
        <w:t xml:space="preserve">The 48.2% revenue growth demonstrates the effectiveness of our optometrist practice model in Riyadh. Notably, contact lens sales surged following our Ramadan campaign offering customized Arabic calligraphy designs on frames – a culturally resonant initiative that drove 35% new customer acquisition from Riyadh's local community.</w:t>
      </w:r>
    </w:p>
    <w:bookmarkEnd w:id="22"/>
    <w:bookmarkStart w:id="23" w:name="iv.-key-growth-drivers-in-saudi-arabia"/>
    <w:p>
      <w:pPr>
        <w:pStyle w:val="Heading2"/>
      </w:pPr>
      <w:r>
        <w:t xml:space="preserve">IV. Key Growth Drivers in Saudi Arabia</w:t>
      </w:r>
    </w:p>
    <w:p>
      <w:pPr>
        <w:pStyle w:val="FirstParagraph"/>
      </w:pPr>
      <w:r>
        <w:rPr>
          <w:bCs/>
          <w:b/>
        </w:rPr>
        <w:t xml:space="preserve">1. Strategic Location Advantage:</w:t>
      </w:r>
      <w:r>
        <w:t xml:space="preserve"> </w:t>
      </w:r>
      <w:r>
        <w:t xml:space="preserve">Our clinic's placement near King Khalid University Hospital and Diplomatic Quarter has positioned us as the preferred optometrist provider for 68% of high-value patients in Riyadh.</w:t>
      </w:r>
    </w:p>
    <w:p>
      <w:pPr>
        <w:pStyle w:val="BodyText"/>
      </w:pPr>
      <w:r>
        <w:rPr>
          <w:bCs/>
          <w:b/>
        </w:rPr>
        <w:t xml:space="preserve">2. Cultural Competency:</w:t>
      </w:r>
      <w:r>
        <w:t xml:space="preserve"> </w:t>
      </w:r>
      <w:r>
        <w:t xml:space="preserve">We've implemented Arabic-speaking optometrist teams and modified service protocols to align with Saudi religious practices (e.g., gender-specific consultations upon request), directly addressing market needs identified in our Saudi Arabia Riyadh consumer survey.</w:t>
      </w:r>
    </w:p>
    <w:p>
      <w:pPr>
        <w:pStyle w:val="BodyText"/>
      </w:pPr>
      <w:r>
        <w:rPr>
          <w:bCs/>
          <w:b/>
        </w:rPr>
        <w:t xml:space="preserve">3. Government Partnership Programs:</w:t>
      </w:r>
      <w:r>
        <w:t xml:space="preserve"> </w:t>
      </w:r>
      <w:r>
        <w:t xml:space="preserve">Collaborations with the Ministry of Health's "Saudi Vision for Eye Care" initiative have generated 27% of new patients through subsidized screening events held across Riyadh communities.</w:t>
      </w:r>
    </w:p>
    <w:p>
      <w:pPr>
        <w:pStyle w:val="BodyText"/>
      </w:pPr>
      <w:r>
        <w:rPr>
          <w:bCs/>
          <w:b/>
        </w:rPr>
        <w:t xml:space="preserve">4. Premium Product Portfolio:</w:t>
      </w:r>
      <w:r>
        <w:t xml:space="preserve"> </w:t>
      </w:r>
      <w:r>
        <w:t xml:space="preserve">Introduction of locally certified designer frames (including exclusive partnerships with Saudi fashion labels) has increased average transaction value by 32% versus regional competitors.</w:t>
      </w:r>
    </w:p>
    <w:bookmarkEnd w:id="23"/>
    <w:bookmarkStart w:id="24" w:name="v.-challenges-solutions-in-riyadh-market"/>
    <w:p>
      <w:pPr>
        <w:pStyle w:val="Heading2"/>
      </w:pPr>
      <w:r>
        <w:t xml:space="preserve">V. Challenges &amp; Solutions in Riyadh Market</w:t>
      </w:r>
    </w:p>
    <w:p>
      <w:pPr>
        <w:pStyle w:val="FirstParagraph"/>
      </w:pPr>
      <w:r>
        <w:t xml:space="preserve">The Sales Report identifies three critical challenges specific to operating as an optometrist practice in Saudi Arabia Riyadh:</w:t>
      </w:r>
    </w:p>
    <w:p>
      <w:pPr>
        <w:numPr>
          <w:ilvl w:val="0"/>
          <w:numId w:val="1001"/>
        </w:numPr>
        <w:pStyle w:val="Compact"/>
      </w:pPr>
      <w:r>
        <w:rPr>
          <w:bCs/>
          <w:b/>
        </w:rPr>
        <w:t xml:space="preserve">Seasonal Demand Fluctuations:</w:t>
      </w:r>
      <w:r>
        <w:t xml:space="preserve"> </w:t>
      </w:r>
      <w:r>
        <w:t xml:space="preserve">Traditional Islamic holidays cause 30% sales dips during Eid periods. *Solution: Implemented pre-Eid "Vision Care Packages" with flexible payment plans, converting 63% of potential lost revenue into advance bookings.</w:t>
      </w:r>
    </w:p>
    <w:p>
      <w:pPr>
        <w:numPr>
          <w:ilvl w:val="0"/>
          <w:numId w:val="1001"/>
        </w:numPr>
        <w:pStyle w:val="Compact"/>
      </w:pPr>
      <w:r>
        <w:rPr>
          <w:bCs/>
          <w:b/>
        </w:rPr>
        <w:t xml:space="preserve">Cultural Sensitivity Requirements:</w:t>
      </w:r>
      <w:r>
        <w:t xml:space="preserve"> </w:t>
      </w:r>
      <w:r>
        <w:t xml:space="preserve">Initial patient hesitation regarding women's eye exams. *Solution: Launched all-female optometrist teams for women's clinics (approved by Saudi Ministry of Health), increasing female patient retention by 41%.</w:t>
      </w:r>
    </w:p>
    <w:p>
      <w:pPr>
        <w:numPr>
          <w:ilvl w:val="0"/>
          <w:numId w:val="1001"/>
        </w:numPr>
        <w:pStyle w:val="Compact"/>
      </w:pPr>
      <w:r>
        <w:rPr>
          <w:bCs/>
          <w:b/>
        </w:rPr>
        <w:t xml:space="preserve">Supply Chain Complexities:</w:t>
      </w:r>
      <w:r>
        <w:t xml:space="preserve"> </w:t>
      </w:r>
      <w:r>
        <w:t xml:space="preserve">Import restrictions on certain lens materials. *Solution: Partnered with Riyadh-based pharmaceutical distributor to develop locally manufactured specialty lenses, reducing delivery time from 45 to 7 days.</w:t>
      </w:r>
    </w:p>
    <w:bookmarkEnd w:id="24"/>
    <w:bookmarkStart w:id="25" w:name="X6116b3c31b613ede12c32adaff1b36b229e78f3"/>
    <w:p>
      <w:pPr>
        <w:pStyle w:val="Heading2"/>
      </w:pPr>
      <w:r>
        <w:t xml:space="preserve">VI. Strategic Recommendations for Saudi Arabia Riyadh Expansion</w:t>
      </w:r>
    </w:p>
    <w:p>
      <w:pPr>
        <w:pStyle w:val="FirstParagraph"/>
      </w:pPr>
      <w:r>
        <w:t xml:space="preserve">This Sales Report concludes with actionable recommendations targeting sustainable growth of our optometrist services across Riyadh:</w:t>
      </w:r>
    </w:p>
    <w:p>
      <w:pPr>
        <w:numPr>
          <w:ilvl w:val="0"/>
          <w:numId w:val="1002"/>
        </w:numPr>
        <w:pStyle w:val="Compact"/>
      </w:pPr>
      <w:r>
        <w:rPr>
          <w:bCs/>
          <w:b/>
        </w:rPr>
        <w:t xml:space="preserve">Launch Mobile Eye Care Units:</w:t>
      </w:r>
      <w:r>
        <w:t xml:space="preserve"> </w:t>
      </w:r>
      <w:r>
        <w:t xml:space="preserve">Deploy clinic-on-wheels targeting underserved areas in Riyadh North and South, addressing the 22% population gap in rural eye care access.</w:t>
      </w:r>
    </w:p>
    <w:p>
      <w:pPr>
        <w:numPr>
          <w:ilvl w:val="0"/>
          <w:numId w:val="1002"/>
        </w:numPr>
        <w:pStyle w:val="Compact"/>
      </w:pPr>
      <w:r>
        <w:rPr>
          <w:bCs/>
          <w:b/>
        </w:rPr>
        <w:t xml:space="preserve">Develop AI-Powered Screening Tools:</w:t>
      </w:r>
      <w:r>
        <w:t xml:space="preserve"> </w:t>
      </w:r>
      <w:r>
        <w:t xml:space="preserve">Integrate Saudi-approved AI diagnostics for early diabetic retinopathy detection – a high-demand service aligned with Vision 2030 health priorities.</w:t>
      </w:r>
    </w:p>
    <w:p>
      <w:pPr>
        <w:numPr>
          <w:ilvl w:val="0"/>
          <w:numId w:val="1002"/>
        </w:numPr>
        <w:pStyle w:val="Compact"/>
      </w:pPr>
      <w:r>
        <w:rPr>
          <w:bCs/>
          <w:b/>
        </w:rPr>
        <w:t xml:space="preserve">Create Corporate Eye Care Partnerships:</w:t>
      </w:r>
      <w:r>
        <w:t xml:space="preserve"> </w:t>
      </w:r>
      <w:r>
        <w:t xml:space="preserve">Target multinational companies operating in Riyadh's business districts with bulk optometry packages, projected to generate SAR 1.2M annual revenue by Q2 2024.</w:t>
      </w:r>
    </w:p>
    <w:p>
      <w:pPr>
        <w:numPr>
          <w:ilvl w:val="0"/>
          <w:numId w:val="1002"/>
        </w:numPr>
        <w:pStyle w:val="Compact"/>
      </w:pPr>
      <w:r>
        <w:rPr>
          <w:bCs/>
          <w:b/>
        </w:rPr>
        <w:t xml:space="preserve">Establish Optometrist Training Center:</w:t>
      </w:r>
      <w:r>
        <w:t xml:space="preserve"> </w:t>
      </w:r>
      <w:r>
        <w:t xml:space="preserve">Collaborate with King Saud University to train Saudi nationals as optometrists, addressing the national shortage while building brand authority in Riyadh's healthcare ecosystem.</w:t>
      </w:r>
    </w:p>
    <w:bookmarkEnd w:id="25"/>
    <w:bookmarkStart w:id="26" w:name="vii.-conclusion"/>
    <w:p>
      <w:pPr>
        <w:pStyle w:val="Heading2"/>
      </w:pPr>
      <w:r>
        <w:t xml:space="preserve">VII. Conclusion</w:t>
      </w:r>
    </w:p>
    <w:p>
      <w:pPr>
        <w:pStyle w:val="FirstParagraph"/>
      </w:pPr>
      <w:r>
        <w:t xml:space="preserve">This Sales Report unequivocally demonstrates that our optometrist practice has become a market leader within Saudi Arabia Riyadh through strategic adaptation to local culture, regulatory environment, and consumer behavior. The 48.2% revenue growth across all service lines – from basic eye exams to premium eyewear – validates our approach of treating "Saudi Arabia Riyadh" not as a generic market but as a culturally nuanced healthcare ecosystem requiring specialized engagement.</w:t>
      </w:r>
    </w:p>
    <w:p>
      <w:pPr>
        <w:pStyle w:val="BodyText"/>
      </w:pPr>
      <w:r>
        <w:t xml:space="preserve">As we prepare for the next fiscal year, this document will serve as the foundational strategy for expanding our optometrist services across 3 additional Riyadh districts while maintaining the highest standards of care. The data presented in this Sales Report confirms that our practice is uniquely positioned to capture 25% of Riyadh's estimated SAR 48 million annual eyewear market by 2025, directly contributing to Vision 2030's healthcare modernization goals.</w:t>
      </w:r>
    </w:p>
    <w:p>
      <w:pPr>
        <w:pStyle w:val="BodyText"/>
      </w:pPr>
      <w:r>
        <w:rPr>
          <w:bCs/>
          <w:b/>
        </w:rPr>
        <w:t xml:space="preserve">Prepared by:</w:t>
      </w:r>
      <w:r>
        <w:t xml:space="preserve"> </w:t>
      </w:r>
      <w:r>
        <w:t xml:space="preserve">Riyadh Optometry Analytics Team</w:t>
      </w:r>
      <w:r>
        <w:br/>
      </w:r>
      <w:r>
        <w:rPr>
          <w:bCs/>
          <w:b/>
        </w:rPr>
        <w:t xml:space="preserve">Approved by:</w:t>
      </w:r>
      <w:r>
        <w:t xml:space="preserve"> </w:t>
      </w:r>
      <w:r>
        <w:t xml:space="preserve">Chief Executive Officer, Saudi Eye Care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Optometrist Practice in Riyadh, Saudi Arabia</dc:title>
  <dc:creator/>
  <dc:language>en</dc:language>
  <cp:keywords/>
  <dcterms:created xsi:type="dcterms:W3CDTF">2026-07-21T04:12:18Z</dcterms:created>
  <dcterms:modified xsi:type="dcterms:W3CDTF">2026-07-21T04:12:18Z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