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3ae58711385854058210437b9dca3b1c66a2bc6"/>
    <w:p>
      <w:pPr>
        <w:pStyle w:val="Heading1"/>
      </w:pPr>
      <w:r>
        <w:t xml:space="preserve">Sales Report: Optometrist Practice Performance Analysis (South Africa Cape Town)</w:t>
      </w:r>
    </w:p>
    <w:bookmarkStart w:id="20" w:name="executive-summary"/>
    <w:p>
      <w:pPr>
        <w:pStyle w:val="Heading2"/>
      </w:pPr>
      <w:r>
        <w:t xml:space="preserve">Executive Summary</w:t>
      </w:r>
    </w:p>
    <w:p>
      <w:pPr>
        <w:pStyle w:val="FirstParagraph"/>
      </w:pPr>
      <w:r>
        <w:t xml:space="preserve">This comprehensive Sales Report analyzes the performance of our optometry practice within the competitive healthcare landscape of South Africa Cape Town. Covering Q3 2023 to Q1 2024, the report demonstrates a 15.7% year-over-year growth in revenue, driven by strategic service expansion and targeted community engagement initiatives. As one of Cape Town's leading optometrist practices serving over 18,500 patients annually, we've established a strong market position through exceptional clinical care and innovative patient experiences aligned with South Africa's National Health Insurance (NHI) readiness framework.</w:t>
      </w:r>
    </w:p>
    <w:bookmarkEnd w:id="20"/>
    <w:bookmarkStart w:id="21" w:name="market-context-optometry-in-cape-town"/>
    <w:p>
      <w:pPr>
        <w:pStyle w:val="Heading2"/>
      </w:pPr>
      <w:r>
        <w:t xml:space="preserve">Market Context: Optometry in Cape Town</w:t>
      </w:r>
    </w:p>
    <w:p>
      <w:pPr>
        <w:pStyle w:val="FirstParagraph"/>
      </w:pPr>
      <w:r>
        <w:t xml:space="preserve">Cape Town presents a unique demographic and economic landscape for optometric services. With 10% of the population aged 50+ (exceeding the national average) and high rates of diabetes-related vision complications, our South Africa Cape Town practice faces both significant demand and evolving healthcare needs. The Western Cape Department of Health reports that 28% of adults require regular eye care but face barriers including cost accessibility and rural-urban disparities. This creates a critical opportunity for our optometrist practice to lead in community-based vision health solutions while adhering to South African healthcare regulations.</w:t>
      </w:r>
    </w:p>
    <w:bookmarkEnd w:id="21"/>
    <w:bookmarkStart w:id="22" w:name="sales-performance-overview"/>
    <w:p>
      <w:pPr>
        <w:pStyle w:val="Heading2"/>
      </w:pPr>
      <w:r>
        <w:t xml:space="preserve">Sales Performance Overview</w:t>
      </w:r>
    </w:p>
    <w:p>
      <w:pPr>
        <w:pStyle w:val="FirstParagraph"/>
      </w:pPr>
      <w:r>
        <w:t xml:space="preserve">Our Q3 2023-Q1 2024 sales data reveals robust growth across all service lines:</w:t>
      </w:r>
    </w:p>
    <w:p>
      <w:pPr>
        <w:numPr>
          <w:ilvl w:val="0"/>
          <w:numId w:val="1001"/>
        </w:numPr>
        <w:pStyle w:val="Compact"/>
      </w:pPr>
      <w:r>
        <w:rPr>
          <w:bCs/>
          <w:b/>
        </w:rPr>
        <w:t xml:space="preserve">Eye Examinations:</w:t>
      </w:r>
      <w:r>
        <w:t xml:space="preserve"> </w:t>
      </w:r>
      <w:r>
        <w:t xml:space="preserve">Increased by 19.4% to 6,850 annual procedures (vs. 5,738 in prior year). This growth stems from our partnership with Cape Town's municipal clinics for free diabetic retinopathy screenings.</w:t>
      </w:r>
    </w:p>
    <w:p>
      <w:pPr>
        <w:numPr>
          <w:ilvl w:val="0"/>
          <w:numId w:val="1001"/>
        </w:numPr>
        <w:pStyle w:val="Compact"/>
      </w:pPr>
      <w:r>
        <w:rPr>
          <w:bCs/>
          <w:b/>
        </w:rPr>
        <w:t xml:space="preserve">Spectacle Sales:</w:t>
      </w:r>
      <w:r>
        <w:t xml:space="preserve"> </w:t>
      </w:r>
      <w:r>
        <w:t xml:space="preserve">Surpassed R2.1 million revenue (up 12.6% YoY), driven by premium lens technology adoption among Cape Town's affluent suburbs like Camps Bay and Constantia.</w:t>
      </w:r>
    </w:p>
    <w:p>
      <w:pPr>
        <w:numPr>
          <w:ilvl w:val="0"/>
          <w:numId w:val="1001"/>
        </w:numPr>
        <w:pStyle w:val="Compact"/>
      </w:pPr>
      <w:r>
        <w:rPr>
          <w:bCs/>
          <w:b/>
        </w:rPr>
        <w:t xml:space="preserve">Contact Lenses:</w:t>
      </w:r>
      <w:r>
        <w:t xml:space="preserve"> </w:t>
      </w:r>
      <w:r>
        <w:t xml:space="preserve">Achieved 24.3% growth with new "Try Before You Buy" programs targeting university students in Rondebosch and Newlands.</w:t>
      </w:r>
    </w:p>
    <w:p>
      <w:pPr>
        <w:numPr>
          <w:ilvl w:val="0"/>
          <w:numId w:val="1001"/>
        </w:numPr>
        <w:pStyle w:val="Compact"/>
      </w:pPr>
      <w:r>
        <w:rPr>
          <w:bCs/>
          <w:b/>
        </w:rPr>
        <w:t xml:space="preserve">Vision Therapy Services:</w:t>
      </w:r>
      <w:r>
        <w:t xml:space="preserve"> </w:t>
      </w:r>
      <w:r>
        <w:t xml:space="preserve">Experienced 37% growth following our partnership with Cape Town's schools for pediatric vision screening.</w:t>
      </w:r>
    </w:p>
    <w:p>
      <w:pPr>
        <w:pStyle w:val="FirstParagraph"/>
      </w:pPr>
      <w:r>
        <w:t xml:space="preserve">Key metric: Patient retention rate reached 84.2% – significantly above the South Africa industry average of 65%. This is attributed to our integrated care model linking optometrist services with follow-up care through Cape Town's community health centers.</w:t>
      </w:r>
    </w:p>
    <w:bookmarkEnd w:id="22"/>
    <w:bookmarkStart w:id="23" w:name="product-service-analysis"/>
    <w:p>
      <w:pPr>
        <w:pStyle w:val="Heading2"/>
      </w:pPr>
      <w:r>
        <w:t xml:space="preserve">Product &amp; Service Analysis</w:t>
      </w:r>
    </w:p>
    <w:p>
      <w:pPr>
        <w:pStyle w:val="FirstParagraph"/>
      </w:pPr>
      <w:r>
        <w:t xml:space="preserve">Breakdown by service category shows strategic success in high-margin offerings:</w:t>
      </w:r>
    </w:p>
    <w:p>
      <w:pPr>
        <w:pStyle w:val="BodyText"/>
      </w:pPr>
      <w:r>
        <w:t xml:space="preserve">Service Category</w:t>
      </w:r>
    </w:p>
    <w:p>
      <w:pPr>
        <w:pStyle w:val="BodyText"/>
      </w:pPr>
      <w:r>
        <w:t xml:space="preserve">Revenue (R)</w:t>
      </w:r>
    </w:p>
    <w:p>
      <w:pPr>
        <w:pStyle w:val="BodyText"/>
      </w:pPr>
      <w:r>
        <w:t xml:space="preserve">% of Total Sales</w:t>
      </w:r>
    </w:p>
    <w:p>
      <w:pPr>
        <w:pStyle w:val="BodyText"/>
      </w:pPr>
      <w:r>
        <w:t xml:space="preserve">Growth vs. Prior Year</w:t>
      </w:r>
    </w:p>
    <w:p>
      <w:pPr>
        <w:pStyle w:val="BodyText"/>
      </w:pPr>
      <w:r>
        <w:t xml:space="preserve">Comprehensive Eye Exams</w:t>
      </w:r>
    </w:p>
    <w:p>
      <w:pPr>
        <w:pStyle w:val="BodyText"/>
      </w:pPr>
      <w:r>
        <w:t xml:space="preserve">1,850,000</w:t>
      </w:r>
    </w:p>
    <w:p>
      <w:pPr>
        <w:pStyle w:val="BodyText"/>
      </w:pPr>
      <w:r>
        <w:t xml:space="preserve">34.2%</w:t>
      </w:r>
    </w:p>
    <w:p>
      <w:pPr>
        <w:pStyle w:val="BodyText"/>
      </w:pPr>
      <w:r>
        <w:t xml:space="preserve">+19.4%</w:t>
      </w:r>
    </w:p>
    <w:p>
      <w:pPr>
        <w:pStyle w:val="BodyText"/>
      </w:pPr>
      <w:r>
        <w:t xml:space="preserve">Spectacles (including premium lenses)</w:t>
      </w:r>
    </w:p>
    <w:p>
      <w:pPr>
        <w:pStyle w:val="BodyText"/>
      </w:pPr>
      <w:r>
        <w:t xml:space="preserve">2,105,000</w:t>
      </w:r>
    </w:p>
    <w:p>
      <w:pPr>
        <w:pStyle w:val="BodyText"/>
      </w:pPr>
      <w:r>
        <w:t xml:space="preserve">&lt;</w:t>
      </w:r>
    </w:p>
    <w:p>
      <w:pPr>
        <w:pStyle w:val="BodyText"/>
      </w:pPr>
      <w:r>
        <w:t xml:space="preserve">38.7%</w:t>
      </w:r>
    </w:p>
    <w:p>
      <w:pPr>
        <w:pStyle w:val="BodyText"/>
      </w:pPr>
      <w:r>
        <w:t xml:space="preserve">+12.6%</w:t>
      </w:r>
    </w:p>
    <w:p>
      <w:pPr>
        <w:pStyle w:val="BodyText"/>
      </w:pPr>
      <w:r>
        <w:t xml:space="preserve">Contact Lenses &amp; Solutions</w:t>
      </w:r>
    </w:p>
    <w:p>
      <w:pPr>
        <w:pStyle w:val="BodyText"/>
      </w:pPr>
      <w:r>
        <w:t xml:space="preserve">895,000</w:t>
      </w:r>
    </w:p>
    <w:p>
      <w:pPr>
        <w:pStyle w:val="BodyText"/>
      </w:pPr>
      <w:r>
        <w:t xml:space="preserve">16.5%</w:t>
      </w:r>
    </w:p>
    <w:p>
      <w:pPr>
        <w:pStyle w:val="BodyText"/>
      </w:pPr>
      <w:r>
        <w:t xml:space="preserve">Total Revenue</w:t>
      </w:r>
    </w:p>
    <w:p>
      <w:pPr>
        <w:pStyle w:val="BodyText"/>
      </w:pPr>
      <w:r>
        <w:t xml:space="preserve">R5,437,892</w:t>
      </w:r>
    </w:p>
    <w:p>
      <w:pPr>
        <w:pStyle w:val="BodyText"/>
      </w:pPr>
      <w:r>
        <w:t xml:space="preserve">100.0%</w:t>
      </w:r>
    </w:p>
    <w:p>
      <w:pPr>
        <w:pStyle w:val="BodyText"/>
      </w:pPr>
      <w:r>
        <w:t xml:space="preserve">The 38.7% revenue share from spectacles reflects our strategic pivot toward premium optical solutions – particularly anti-reflective and blue-light blocking lenses popular among Cape Town's tech industry professionals. This aligns with South Africa's growing market for specialized eyewear, projected to reach ZAR 2.3 billion by 2025 (SA Optical Association data).</w:t>
      </w:r>
    </w:p>
    <w:bookmarkEnd w:id="23"/>
    <w:bookmarkStart w:id="24" w:name="market-challenges-strategic-adaptations"/>
    <w:p>
      <w:pPr>
        <w:pStyle w:val="Heading2"/>
      </w:pPr>
      <w:r>
        <w:t xml:space="preserve">Market Challenges &amp; Strategic Adaptations</w:t>
      </w:r>
    </w:p>
    <w:p>
      <w:pPr>
        <w:pStyle w:val="FirstParagraph"/>
      </w:pPr>
      <w:r>
        <w:t xml:space="preserve">Our Cape Town optometrist practice navigated several key challenges:</w:t>
      </w:r>
    </w:p>
    <w:p>
      <w:pPr>
        <w:numPr>
          <w:ilvl w:val="0"/>
          <w:numId w:val="1002"/>
        </w:numPr>
        <w:pStyle w:val="Compact"/>
      </w:pPr>
      <w:r>
        <w:rPr>
          <w:bCs/>
          <w:b/>
        </w:rPr>
        <w:t xml:space="preserve">NHI Compliance Costs:</w:t>
      </w:r>
      <w:r>
        <w:t xml:space="preserve"> </w:t>
      </w:r>
      <w:r>
        <w:t xml:space="preserve">Implemented digital patient records system compliant with NHI standards, increasing operational costs by 8% but enabling eligibility for government health partnerships.</w:t>
      </w:r>
    </w:p>
    <w:p>
      <w:pPr>
        <w:numPr>
          <w:ilvl w:val="0"/>
          <w:numId w:val="1002"/>
        </w:numPr>
        <w:pStyle w:val="Compact"/>
      </w:pPr>
      <w:r>
        <w:rPr>
          <w:bCs/>
          <w:b/>
        </w:rPr>
        <w:t xml:space="preserve">Competition Pressure:</w:t>
      </w:r>
      <w:r>
        <w:t xml:space="preserve"> </w:t>
      </w:r>
      <w:r>
        <w:t xml:space="preserve">Addressed by launching "Cape Town Vision Pass" – a subscription model offering quarterly check-ups at 25% below standard rates for residents in specific municipal wards.</w:t>
      </w:r>
    </w:p>
    <w:p>
      <w:pPr>
        <w:numPr>
          <w:ilvl w:val="0"/>
          <w:numId w:val="1002"/>
        </w:numPr>
        <w:pStyle w:val="Compact"/>
      </w:pPr>
      <w:r>
        <w:rPr>
          <w:bCs/>
          <w:b/>
        </w:rPr>
        <w:t xml:space="preserve">Supply Chain Issues:</w:t>
      </w:r>
      <w:r>
        <w:t xml:space="preserve"> </w:t>
      </w:r>
      <w:r>
        <w:t xml:space="preserve">Mitigated through local partnerships with Cape Town-based manufacturers (e.g., Eyewear South Africa), reducing lens delivery times from 14 to 3 days.</w:t>
      </w:r>
    </w:p>
    <w:bookmarkEnd w:id="24"/>
    <w:bookmarkStart w:id="25" w:name="opportunities-in-south-africa-cape-town"/>
    <w:p>
      <w:pPr>
        <w:pStyle w:val="Heading2"/>
      </w:pPr>
      <w:r>
        <w:t xml:space="preserve">Opportunities in South Africa Cape Town</w:t>
      </w:r>
    </w:p>
    <w:p>
      <w:pPr>
        <w:pStyle w:val="FirstParagraph"/>
      </w:pPr>
      <w:r>
        <w:t xml:space="preserve">Two significant growth vectors emerged for our optometrist practice:</w:t>
      </w:r>
    </w:p>
    <w:p>
      <w:pPr>
        <w:numPr>
          <w:ilvl w:val="0"/>
          <w:numId w:val="1003"/>
        </w:numPr>
        <w:pStyle w:val="Compact"/>
      </w:pPr>
      <w:r>
        <w:rPr>
          <w:bCs/>
          <w:b/>
        </w:rPr>
        <w:t xml:space="preserve">Corporate Wellness Partnerships:</w:t>
      </w:r>
      <w:r>
        <w:t xml:space="preserve"> </w:t>
      </w:r>
      <w:r>
        <w:t xml:space="preserve">Signed contracts with 3 major Cape Town employers (including a tech hub in Silicon Cape), generating R450,000 in new revenue streams through on-site vision screenings.</w:t>
      </w:r>
    </w:p>
    <w:p>
      <w:pPr>
        <w:numPr>
          <w:ilvl w:val="0"/>
          <w:numId w:val="1003"/>
        </w:numPr>
        <w:pStyle w:val="Compact"/>
      </w:pPr>
      <w:r>
        <w:rPr>
          <w:bCs/>
          <w:b/>
        </w:rPr>
        <w:t xml:space="preserve">Rural Outreach Expansion:</w:t>
      </w:r>
      <w:r>
        <w:t xml:space="preserve"> </w:t>
      </w:r>
      <w:r>
        <w:t xml:space="preserve">Piloted mobile eye care units serving Philippi and Khayelitsha communities, capturing 12% of the previously underserved market with government funding support.</w:t>
      </w:r>
    </w:p>
    <w:p>
      <w:pPr>
        <w:pStyle w:val="FirstParagraph"/>
      </w:pPr>
      <w:r>
        <w:t xml:space="preserve">Cape Town's rapidly aging population (projected 20% by 2030) presents a critical opportunity for early intervention services. Our practice has already trained staff in glaucoma management protocols aligned with South Africa's National Eye Care Guidelines, positioning us to lead in preventative vision care across the region.</w:t>
      </w:r>
    </w:p>
    <w:bookmarkEnd w:id="25"/>
    <w:bookmarkStart w:id="26" w:name="customer-satisfaction-retention"/>
    <w:p>
      <w:pPr>
        <w:pStyle w:val="Heading2"/>
      </w:pPr>
      <w:r>
        <w:t xml:space="preserve">Customer Satisfaction &amp; Retention</w:t>
      </w:r>
    </w:p>
    <w:p>
      <w:pPr>
        <w:pStyle w:val="FirstParagraph"/>
      </w:pPr>
      <w:r>
        <w:t xml:space="preserve">Patient feedback scores reached 94% for service quality (compared to national average of 78%), with special recognition for our "Cape Town Care Network" – a system linking optometrist appointments with nearby pharmacies for immediate lens dispensing. This seamless experience directly contributed to our high retention rate. Notably, 68% of new patients came through community partnerships rather than traditional advertising, reflecting strong trust in our South Africa Cape Town presence.</w:t>
      </w:r>
    </w:p>
    <w:bookmarkEnd w:id="26"/>
    <w:bookmarkStart w:id="27" w:name="strategic-outlook"/>
    <w:p>
      <w:pPr>
        <w:pStyle w:val="Heading2"/>
      </w:pPr>
      <w:r>
        <w:t xml:space="preserve">Strategic Outlook</w:t>
      </w:r>
    </w:p>
    <w:p>
      <w:pPr>
        <w:pStyle w:val="FirstParagraph"/>
      </w:pPr>
      <w:r>
        <w:t xml:space="preserve">For the next fiscal year (2024-2025), we project 18-20% revenue growth through:</w:t>
      </w:r>
    </w:p>
    <w:p>
      <w:pPr>
        <w:numPr>
          <w:ilvl w:val="0"/>
          <w:numId w:val="1004"/>
        </w:numPr>
        <w:pStyle w:val="Compact"/>
      </w:pPr>
      <w:r>
        <w:t xml:space="preserve">Expanding mobile clinic services to all Cape Town townships</w:t>
      </w:r>
    </w:p>
    <w:p>
      <w:pPr>
        <w:numPr>
          <w:ilvl w:val="0"/>
          <w:numId w:val="1004"/>
        </w:numPr>
        <w:pStyle w:val="Compact"/>
      </w:pPr>
      <w:r>
        <w:t xml:space="preserve">Introducing AI-powered retinal screening technology for early diabetic detection (aligned with NHI digital health initiatives)</w:t>
      </w:r>
    </w:p>
    <w:p>
      <w:pPr>
        <w:numPr>
          <w:ilvl w:val="0"/>
          <w:numId w:val="1004"/>
        </w:numPr>
        <w:pStyle w:val="Compact"/>
      </w:pPr>
      <w:r>
        <w:t xml:space="preserve">Developing a "Vision Health" educational program for schools across the Western Cape</w:t>
      </w:r>
    </w:p>
    <w:p>
      <w:pPr>
        <w:pStyle w:val="FirstParagraph"/>
      </w:pPr>
      <w:r>
        <w:t xml:space="preserve">This Sales Report underscores that our optometrist practice has not only adapted to South Africa Cape Town's unique healthcare environment but is actively shaping its future. By prioritizing community health integration, premium service innovation, and NHI-compliant operations, we've established a sustainable model for vision care excellence in one of South Africa's most dynamic metropolitan markets. The data confirms that strategic investment in local community health solutions directly correlates with commercial success in Cape Town's competitive optometry sector.</w:t>
      </w:r>
    </w:p>
    <w:bookmarkEnd w:id="27"/>
    <w:bookmarkStart w:id="28" w:name="conclusion"/>
    <w:p>
      <w:pPr>
        <w:pStyle w:val="Heading2"/>
      </w:pPr>
      <w:r>
        <w:t xml:space="preserve">Conclusion</w:t>
      </w:r>
    </w:p>
    <w:p>
      <w:pPr>
        <w:pStyle w:val="FirstParagraph"/>
      </w:pPr>
      <w:r>
        <w:t xml:space="preserve">The South Africa Cape Town market presents unparalleled opportunities for optometrist practices committed to integrated care models. Our Sales Report demonstrates that by addressing specific regional needs – from NHI compliance to demographic health challenges – we've achieved exceptional growth while fulfilling our mission of "Vision Care for All Capetonians." As the first optometrist practice in Cape Town to implement full digital health integration with municipal services, we set a benchmark for healthcare innovation across South Africa. The coming year will focus on scaling community programs that convert our 18,500 annual patients into lifelong vision health partners – proving that ethical business practices and community impact are intrinsically linked in the Cape Town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Cape Town, South Africa</dc:title>
  <dc:creator/>
  <dc:language>en</dc:language>
  <cp:keywords/>
  <dcterms:created xsi:type="dcterms:W3CDTF">2026-07-23T18:20:54Z</dcterms:created>
  <dcterms:modified xsi:type="dcterms:W3CDTF">2026-07-23T18:20:54Z</dcterms:modified>
</cp:coreProperties>
</file>

<file path=docProps/custom.xml><?xml version="1.0" encoding="utf-8"?>
<Properties xmlns="http://schemas.openxmlformats.org/officeDocument/2006/custom-properties" xmlns:vt="http://schemas.openxmlformats.org/officeDocument/2006/docPropsVTypes"/>
</file>