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Madrid,</w:t>
      </w:r>
      <w:r>
        <w:t xml:space="preserve"> </w:t>
      </w:r>
      <w:r>
        <w:t xml:space="preserve">Spain</w:t>
      </w:r>
      <w:r>
        <w:t xml:space="preserve"> </w:t>
      </w:r>
      <w:r>
        <w:t xml:space="preserve">Market</w:t>
      </w:r>
      <w:r>
        <w:t xml:space="preserve"> </w:t>
      </w:r>
      <w:r>
        <w:t xml:space="preserve">Performance</w:t>
      </w:r>
    </w:p>
    <w:bookmarkStart w:id="28" w:name="X893c4f2ba89189765edc38f57a0b044bda7408e"/>
    <w:p>
      <w:pPr>
        <w:pStyle w:val="Heading1"/>
      </w:pPr>
      <w:r>
        <w:t xml:space="preserve">Sales Report: Optometrist Practice Performance Analysis in Madrid, Spain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Optometrist practice across Madrid, Spain during Q3 2023. As a leading eye care provider serving the vibrant metropolitan area of Madrid, we've achieved remarkable growth in patient acquisition and service utilization. The report confirms that strategic market positioning within Spain's largest healthcare hub has driven consistent revenue expansion, with particular strength observed in premium eyewear solutions and preventive vision care services. This Sales Report demonstrates how our Madrid-based Optometrist practice maintains competitive superiority through localized customer engagement and regulatory compliance with Spanish healthcare standards.</w:t>
      </w:r>
    </w:p>
    <w:bookmarkEnd w:id="20"/>
    <w:bookmarkStart w:id="21" w:name="Xbf7a7914d9f53379c1b29cbe4ef1120accf1a69"/>
    <w:p>
      <w:pPr>
        <w:pStyle w:val="Heading2"/>
      </w:pPr>
      <w:r>
        <w:t xml:space="preserve">Market Context: Optometry Sector in Madrid, Spain</w:t>
      </w:r>
    </w:p>
    <w:p>
      <w:pPr>
        <w:pStyle w:val="FirstParagraph"/>
      </w:pPr>
      <w:r>
        <w:t xml:space="preserve">The optometry market in Madrid, Spain presents unique opportunities due to the city's population density (over 3.3 million residents), high disposable income levels, and growing awareness of preventive eye health. As a licensed Optometrist practice operating since 2015 within Madrid's healthcare ecosystem, we've capitalized on Spain's National Health System integration while offering premium private services. Recent data from the Spanish Association of Opticians (AEO) indicates Madrid accounts for 38% of Spain's total optometric revenue, with an annual growth rate of 6.7% – significantly outpacing national averages. This Sales Report confirms our strategic focus on Madrid has yielded superior returns compared to regional competitors in secondary cities.</w:t>
      </w:r>
    </w:p>
    <w:bookmarkEnd w:id="21"/>
    <w:bookmarkStart w:id="22" w:name="q3-2023-financial-performance"/>
    <w:p>
      <w:pPr>
        <w:pStyle w:val="Heading2"/>
      </w:pPr>
      <w:r>
        <w:t xml:space="preserve">Q3 2023 Financial Performance</w:t>
      </w:r>
    </w:p>
    <w:p>
      <w:pPr>
        <w:pStyle w:val="FirstParagraph"/>
      </w:pPr>
      <w:r>
        <w:t xml:space="preserve">Our Optometrist practice achieved €148,500 in total sales during Q3 2023, representing a 19.6% year-over-year increase. Key drivers included:</w:t>
      </w:r>
    </w:p>
    <w:p>
      <w:pPr>
        <w:numPr>
          <w:ilvl w:val="0"/>
          <w:numId w:val="1001"/>
        </w:numPr>
        <w:pStyle w:val="Compact"/>
      </w:pPr>
      <w:r>
        <w:rPr>
          <w:bCs/>
          <w:b/>
        </w:rPr>
        <w:t xml:space="preserve">Eye Examinations:</w:t>
      </w:r>
      <w:r>
        <w:t xml:space="preserve"> </w:t>
      </w:r>
      <w:r>
        <w:t xml:space="preserve">€62,300 (42% of revenue) – 15% YoY growth driven by corporate wellness partnerships with Madrid-based businesses</w:t>
      </w:r>
    </w:p>
    <w:p>
      <w:pPr>
        <w:numPr>
          <w:ilvl w:val="0"/>
          <w:numId w:val="1001"/>
        </w:numPr>
        <w:pStyle w:val="Compact"/>
      </w:pPr>
      <w:r>
        <w:rPr>
          <w:bCs/>
          <w:b/>
        </w:rPr>
        <w:t xml:space="preserve">Premium Eyewear Sales:</w:t>
      </w:r>
      <w:r>
        <w:t xml:space="preserve"> </w:t>
      </w:r>
      <w:r>
        <w:t xml:space="preserve">€58,700 (39.5% of revenue) – 27.1% increase via collaborations with Spanish luxury brands like Gucci and Ray-Ban Madrid flagship store</w:t>
      </w:r>
    </w:p>
    <w:p>
      <w:pPr>
        <w:numPr>
          <w:ilvl w:val="0"/>
          <w:numId w:val="1001"/>
        </w:numPr>
        <w:pStyle w:val="Compact"/>
      </w:pPr>
      <w:r>
        <w:rPr>
          <w:bCs/>
          <w:b/>
        </w:rPr>
        <w:t xml:space="preserve">Specialized Services:</w:t>
      </w:r>
      <w:r>
        <w:t xml:space="preserve"> </w:t>
      </w:r>
      <w:r>
        <w:t xml:space="preserve">€27,500 (18.5% of revenue) – 34% growth in contact lens fittings and dry eye therapy for Madrid's urban population</w:t>
      </w:r>
    </w:p>
    <w:p>
      <w:pPr>
        <w:pStyle w:val="FirstParagraph"/>
      </w:pPr>
      <w:r>
        <w:t xml:space="preserve">This Sales Report highlights that our premium pricing strategy (average transaction value: €182 vs. Madrid average of €154) has been validated by patient retention rates exceeding 82%, significantly higher than the Spanish industry benchmark of 65%.</w:t>
      </w:r>
    </w:p>
    <w:bookmarkEnd w:id="22"/>
    <w:bookmarkStart w:id="23" w:name="Xd80e6be267e8e6f22a90276740c192b6f7ac6b5"/>
    <w:p>
      <w:pPr>
        <w:pStyle w:val="Heading2"/>
      </w:pPr>
      <w:r>
        <w:t xml:space="preserve">Demographic Analysis: Serving Madrid's Diverse Population</w:t>
      </w:r>
    </w:p>
    <w:p>
      <w:pPr>
        <w:pStyle w:val="FirstParagraph"/>
      </w:pPr>
      <w:r>
        <w:t xml:space="preserve">Our Optometrist practice in Spain Madrid strategically targets three key demographics:</w:t>
      </w:r>
    </w:p>
    <w:p>
      <w:pPr>
        <w:numPr>
          <w:ilvl w:val="0"/>
          <w:numId w:val="1002"/>
        </w:numPr>
        <w:pStyle w:val="Compact"/>
      </w:pPr>
      <w:r>
        <w:rPr>
          <w:iCs/>
          <w:i/>
        </w:rPr>
        <w:t xml:space="preserve">Corporate Clients (40% of revenue):</w:t>
      </w:r>
      <w:r>
        <w:t xml:space="preserve"> </w:t>
      </w:r>
      <w:r>
        <w:t xml:space="preserve">Partnerships with 37 Madrid-headquartered companies (including Telefónica and Banco Santander) for on-site vision screenings, generating €58,200 in Q3</w:t>
      </w:r>
    </w:p>
    <w:p>
      <w:pPr>
        <w:numPr>
          <w:ilvl w:val="0"/>
          <w:numId w:val="1002"/>
        </w:numPr>
        <w:pStyle w:val="Compact"/>
      </w:pPr>
      <w:r>
        <w:rPr>
          <w:iCs/>
          <w:i/>
        </w:rPr>
        <w:t xml:space="preserve">Urban Professionals (35% of revenue):</w:t>
      </w:r>
      <w:r>
        <w:t xml:space="preserve"> </w:t>
      </w:r>
      <w:r>
        <w:t xml:space="preserve">High-demand premium frame sales among Madrid's 45-64 age group with average income exceeding €48,000/year</w:t>
      </w:r>
    </w:p>
    <w:p>
      <w:pPr>
        <w:numPr>
          <w:ilvl w:val="0"/>
          <w:numId w:val="1002"/>
        </w:numPr>
        <w:pStyle w:val="Compact"/>
      </w:pPr>
      <w:r>
        <w:rPr>
          <w:iCs/>
          <w:i/>
        </w:rPr>
        <w:t xml:space="preserve">Family Packages (25% of revenue):</w:t>
      </w:r>
      <w:r>
        <w:t xml:space="preserve"> </w:t>
      </w:r>
      <w:r>
        <w:t xml:space="preserve">Successful "Vision for All" programs attracting multi-generational customers in residential areas like Chamartín and Salamanca</w:t>
      </w:r>
    </w:p>
    <w:p>
      <w:pPr>
        <w:pStyle w:val="FirstParagraph"/>
      </w:pPr>
      <w:r>
        <w:t xml:space="preserve">This demographic segmentation strategy, unique to our Madrid location, has proven essential in adapting to Spain's regional market variations. The Sales Report confirms that 68% of new patients came from within a 5km radius of our central Madrid clinic – demonstrating the power of hyper-localized service delivery.</w:t>
      </w:r>
    </w:p>
    <w:bookmarkEnd w:id="23"/>
    <w:bookmarkStart w:id="24" w:name="X537ee52041c11f236ddfafd38f7f89a2605abe0"/>
    <w:p>
      <w:pPr>
        <w:pStyle w:val="Heading2"/>
      </w:pPr>
      <w:r>
        <w:t xml:space="preserve">Marketing Effectiveness: Driving Sales in Madrid's Competitive Landscape</w:t>
      </w:r>
    </w:p>
    <w:p>
      <w:pPr>
        <w:pStyle w:val="FirstParagraph"/>
      </w:pPr>
      <w:r>
        <w:t xml:space="preserve">Our targeted marketing initiatives for Spain Madrid delivered exceptional results:</w:t>
      </w:r>
    </w:p>
    <w:p>
      <w:pPr>
        <w:numPr>
          <w:ilvl w:val="0"/>
          <w:numId w:val="1003"/>
        </w:numPr>
        <w:pStyle w:val="Compact"/>
      </w:pPr>
      <w:r>
        <w:rPr>
          <w:iCs/>
          <w:i/>
        </w:rPr>
        <w:t xml:space="preserve">Social Media Campaigns:</w:t>
      </w:r>
      <w:r>
        <w:t xml:space="preserve"> </w:t>
      </w:r>
      <w:r>
        <w:t xml:space="preserve">Instagram/Facebook campaigns featuring local Madrid influencers generated 1,240 new leads (37% conversion rate to appointments)</w:t>
      </w:r>
    </w:p>
    <w:p>
      <w:pPr>
        <w:numPr>
          <w:ilvl w:val="0"/>
          <w:numId w:val="1003"/>
        </w:numPr>
        <w:pStyle w:val="Compact"/>
      </w:pPr>
      <w:r>
        <w:rPr>
          <w:iCs/>
          <w:i/>
        </w:rPr>
        <w:t xml:space="preserve">Community Health Events:</w:t>
      </w:r>
      <w:r>
        <w:t xml:space="preserve"> </w:t>
      </w:r>
      <w:r>
        <w:t xml:space="preserve">Participation in Madrid's "Salud Visual" public health initiative increased brand recognition by 41% among residents</w:t>
      </w:r>
    </w:p>
    <w:p>
      <w:pPr>
        <w:numPr>
          <w:ilvl w:val="0"/>
          <w:numId w:val="1003"/>
        </w:numPr>
        <w:pStyle w:val="Compact"/>
      </w:pPr>
      <w:r>
        <w:rPr>
          <w:iCs/>
          <w:i/>
        </w:rPr>
        <w:t xml:space="preserve">Google Ads Localization:</w:t>
      </w:r>
      <w:r>
        <w:t xml:space="preserve"> </w:t>
      </w:r>
      <w:r>
        <w:t xml:space="preserve">Geo-targeted campaigns using "Optometrist Madrid" keywords achieved 28% lower cost-per-acquisition than national Spain averages</w:t>
      </w:r>
    </w:p>
    <w:p>
      <w:pPr>
        <w:pStyle w:val="FirstParagraph"/>
      </w:pPr>
      <w:r>
        <w:t xml:space="preserve">This Sales Report emphasizes that our Madrid-specific marketing approach – incorporating Spanish cultural references and local event sponsorships – has been instrumental in outperforming competitors who use generic national campaigns. The ROI on localized advertising exceeded 14:1 compared to industry standard 7:1.</w:t>
      </w:r>
    </w:p>
    <w:bookmarkEnd w:id="24"/>
    <w:bookmarkStart w:id="25" w:name="X494a553983c1f8d7515c3a86ca3a717f5c1078c"/>
    <w:p>
      <w:pPr>
        <w:pStyle w:val="Heading2"/>
      </w:pPr>
      <w:r>
        <w:t xml:space="preserve">Regulatory Compliance &amp; Spain Madrid Market Dynamics</w:t>
      </w:r>
    </w:p>
    <w:p>
      <w:pPr>
        <w:pStyle w:val="FirstParagraph"/>
      </w:pPr>
      <w:r>
        <w:t xml:space="preserve">Operating as a licensed Optometrist practice in Spain requires strict adherence to Royal Decree 386/2005 and regional healthcare regulations. Our Madrid clinic maintains full compliance through:</w:t>
      </w:r>
    </w:p>
    <w:p>
      <w:pPr>
        <w:numPr>
          <w:ilvl w:val="0"/>
          <w:numId w:val="1004"/>
        </w:numPr>
        <w:pStyle w:val="Compact"/>
      </w:pPr>
      <w:r>
        <w:t xml:space="preserve">Quarterly audits by the Comunidad de Madrid Health Department</w:t>
      </w:r>
    </w:p>
    <w:p>
      <w:pPr>
        <w:numPr>
          <w:ilvl w:val="0"/>
          <w:numId w:val="1004"/>
        </w:numPr>
        <w:pStyle w:val="Compact"/>
      </w:pPr>
      <w:r>
        <w:t xml:space="preserve">Real-time integration with Spain's national electronic health records system (SIDIAP)</w:t>
      </w:r>
    </w:p>
    <w:p>
      <w:pPr>
        <w:numPr>
          <w:ilvl w:val="0"/>
          <w:numId w:val="1004"/>
        </w:numPr>
        <w:pStyle w:val="Compact"/>
      </w:pPr>
      <w:r>
        <w:t xml:space="preserve">Specialized training for all staff on Spanish vision care protocols</w:t>
      </w:r>
    </w:p>
    <w:p>
      <w:pPr>
        <w:pStyle w:val="FirstParagraph"/>
      </w:pPr>
      <w:r>
        <w:t xml:space="preserve">This Sales Report confirms that regulatory compliance has become a key competitive advantage in Madrid, where 73% of patients consider healthcare accreditation when choosing an Optometrist. The practice's adherence to Spain's strict optical standards has directly contributed to our 4.8/5 average patient rating on Google (vs. Madrid average of 4.2).</w:t>
      </w:r>
    </w:p>
    <w:bookmarkEnd w:id="25"/>
    <w:bookmarkStart w:id="26" w:name="challenges-strategic-recommendations"/>
    <w:p>
      <w:pPr>
        <w:pStyle w:val="Heading2"/>
      </w:pPr>
      <w:r>
        <w:t xml:space="preserve">Challenges &amp; Strategic Recommendations</w:t>
      </w:r>
    </w:p>
    <w:p>
      <w:pPr>
        <w:pStyle w:val="FirstParagraph"/>
      </w:pPr>
      <w:r>
        <w:t xml:space="preserve">Despite strong performance, challenges exist in the Madrid market:</w:t>
      </w:r>
    </w:p>
    <w:p>
      <w:pPr>
        <w:numPr>
          <w:ilvl w:val="0"/>
          <w:numId w:val="1005"/>
        </w:numPr>
        <w:pStyle w:val="Compact"/>
      </w:pPr>
      <w:r>
        <w:rPr>
          <w:iCs/>
          <w:i/>
        </w:rPr>
        <w:t xml:space="preserve">Increasing Competition:</w:t>
      </w:r>
      <w:r>
        <w:t xml:space="preserve"> </w:t>
      </w:r>
      <w:r>
        <w:t xml:space="preserve">11 new optical clinics opened in Madrid during Q3 2023</w:t>
      </w:r>
    </w:p>
    <w:p>
      <w:pPr>
        <w:numPr>
          <w:ilvl w:val="0"/>
          <w:numId w:val="1005"/>
        </w:numPr>
        <w:pStyle w:val="Compact"/>
      </w:pPr>
      <w:r>
        <w:rPr>
          <w:iCs/>
          <w:i/>
        </w:rPr>
        <w:t xml:space="preserve">Rising Costs:</w:t>
      </w:r>
      <w:r>
        <w:t xml:space="preserve"> </w:t>
      </w:r>
      <w:r>
        <w:t xml:space="preserve">14% increase in premium lens imports due to Spain's EU tariff adjustments</w:t>
      </w:r>
    </w:p>
    <w:p>
      <w:pPr>
        <w:numPr>
          <w:ilvl w:val="0"/>
          <w:numId w:val="1005"/>
        </w:numPr>
        <w:pStyle w:val="Compact"/>
      </w:pPr>
      <w:r>
        <w:rPr>
          <w:iCs/>
          <w:i/>
        </w:rPr>
        <w:t xml:space="preserve">Patient Retention Pressure:</w:t>
      </w:r>
      <w:r>
        <w:t xml:space="preserve"> </w:t>
      </w:r>
      <w:r>
        <w:t xml:space="preserve">Madrid's mobile population creates higher churn risk (18.7% vs. national 12.3%)</w:t>
      </w:r>
    </w:p>
    <w:p>
      <w:pPr>
        <w:pStyle w:val="FirstParagraph"/>
      </w:pPr>
      <w:r>
        <w:t xml:space="preserve">Strategic recommendations from this Sales Report include:</w:t>
      </w:r>
    </w:p>
    <w:p>
      <w:pPr>
        <w:numPr>
          <w:ilvl w:val="0"/>
          <w:numId w:val="1006"/>
        </w:numPr>
        <w:pStyle w:val="Compact"/>
      </w:pPr>
      <w:r>
        <w:t xml:space="preserve">Developing "Madrid Vision Passport" loyalty program to combat patient churn</w:t>
      </w:r>
    </w:p>
    <w:p>
      <w:pPr>
        <w:numPr>
          <w:ilvl w:val="0"/>
          <w:numId w:val="1006"/>
        </w:numPr>
        <w:pStyle w:val="Compact"/>
      </w:pPr>
      <w:r>
        <w:t xml:space="preserve">Expanding partnerships with Madrid-based health insurance providers (e.g., Mapfre, Sanitas)</w:t>
      </w:r>
    </w:p>
    <w:p>
      <w:pPr>
        <w:numPr>
          <w:ilvl w:val="0"/>
          <w:numId w:val="1006"/>
        </w:numPr>
        <w:pStyle w:val="Compact"/>
      </w:pPr>
      <w:r>
        <w:t xml:space="preserve">Investing in AI-driven vision screening tools compliant with Spain's 2023 Optometry Tech Regulations</w:t>
      </w:r>
    </w:p>
    <w:bookmarkEnd w:id="26"/>
    <w:bookmarkStart w:id="27" w:name="X78fb7422afcdaeab5cbbd765ffdd99887fabb57"/>
    <w:p>
      <w:pPr>
        <w:pStyle w:val="Heading2"/>
      </w:pPr>
      <w:r>
        <w:t xml:space="preserve">Conclusion: Future Outlook for Optometrist Practice in Madrid</w:t>
      </w:r>
    </w:p>
    <w:p>
      <w:pPr>
        <w:pStyle w:val="FirstParagraph"/>
      </w:pPr>
      <w:r>
        <w:t xml:space="preserve">This Sales Report unequivocally demonstrates that our Madrid-based Optometrist practice is positioned for sustained growth within Spain's evolving healthcare landscape. The strategic focus on Spain Madrid as a premium market, combined with data-driven service customization, has created significant competitive differentiation. With projected 8% annual growth in the Spanish optometry sector (per CERMA research), we forecast €625K annual revenue by Q4 2024 – a 31% increase from current performance.</w:t>
      </w:r>
    </w:p>
    <w:p>
      <w:pPr>
        <w:pStyle w:val="BodyText"/>
      </w:pPr>
      <w:r>
        <w:t xml:space="preserve">As the leading Optometrist practice in Madrid, Spain, our commitment to local market intelligence and Spanish healthcare standards ensures continued leadership. This Sales Report serves as both a performance assessment and strategic roadmap for dominating the Madrid eye care market while maintaining our mission of "Preserving Vision, Enriching Lives" within Spain's most dynamic city.</w:t>
      </w:r>
    </w:p>
    <w:p>
      <w:pPr>
        <w:pStyle w:val="BodyText"/>
      </w:pPr>
      <w:r>
        <w:rPr>
          <w:bCs/>
          <w:b/>
        </w:rPr>
        <w:t xml:space="preserve">Prepared By:</w:t>
      </w:r>
      <w:r>
        <w:t xml:space="preserve"> </w:t>
      </w:r>
      <w:r>
        <w:t xml:space="preserve">Madrid Optometric Solutions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Madrid, Spain Market Performance</dc:title>
  <dc:creator/>
  <dc:language>en</dc:language>
  <cp:keywords/>
  <dcterms:created xsi:type="dcterms:W3CDTF">2026-07-23T06:42:03Z</dcterms:created>
  <dcterms:modified xsi:type="dcterms:W3CDTF">2026-07-23T06:42:03Z</dcterms:modified>
</cp:coreProperties>
</file>

<file path=docProps/custom.xml><?xml version="1.0" encoding="utf-8"?>
<Properties xmlns="http://schemas.openxmlformats.org/officeDocument/2006/custom-properties" xmlns:vt="http://schemas.openxmlformats.org/officeDocument/2006/docPropsVTypes"/>
</file>