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7" w:name="X86302e8122c65e00568658fd898c3a771824a2f"/>
    <w:p>
      <w:pPr>
        <w:pStyle w:val="Heading1"/>
      </w:pPr>
      <w:r>
        <w:t xml:space="preserve">Optometrist Practice Sales Report: United Kingdom London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London Optometry Network |</w:t>
      </w:r>
      <w:r>
        <w:t xml:space="preserve"> </w:t>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Sales Report provides a comprehensive analysis of the optometric practice's performance across United Kingdom London. The period has demonstrated exceptional growth in patient acquisition and service revenue, driven by strategic market positioning within London's competitive optical landscape. As a premier optometrist practice serving Greater London, we achieved a 17.3% year-on-year increase in total sales revenue, exceeding our Q3 targets by 12%. This report details key performance indicators, market dynamics specific to United Kingdom London, and actionable strategies for sustaining growth in the UK's most populous city.</w:t>
      </w:r>
    </w:p>
    <w:bookmarkEnd w:id="20"/>
    <w:bookmarkStart w:id="21" w:name="current-sales-performance"/>
    <w:p>
      <w:pPr>
        <w:pStyle w:val="Heading2"/>
      </w:pPr>
      <w:r>
        <w:t xml:space="preserve">Current Sales Performance</w:t>
      </w:r>
    </w:p>
    <w:p>
      <w:pPr>
        <w:pStyle w:val="FirstParagraph"/>
      </w:pPr>
      <w:r>
        <w:rPr>
          <w:bCs/>
          <w:b/>
        </w:rPr>
        <w:t xml:space="preserve">Q3 2023 Key Metrics (United Kingdom London Operations):</w:t>
      </w:r>
    </w:p>
    <w:p>
      <w:pPr>
        <w:pStyle w:val="BodyText"/>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(GBP)</w:t>
      </w:r>
    </w:p>
    <w:p>
      <w:pPr>
        <w:pStyle w:val="BodyText"/>
      </w:pPr>
      <w:r>
        <w:t xml:space="preserve">£487,500</w:t>
      </w:r>
    </w:p>
    <w:p>
      <w:pPr>
        <w:pStyle w:val="BodyText"/>
      </w:pPr>
      <w:r>
        <w:t xml:space="preserve">£418,200</w:t>
      </w:r>
    </w:p>
    <w:p>
      <w:pPr>
        <w:pStyle w:val="BodyText"/>
      </w:pPr>
      <w:r>
        <w:t xml:space="preserve">+17.3%</w:t>
      </w:r>
    </w:p>
    <w:p>
      <w:pPr>
        <w:pStyle w:val="BodyText"/>
      </w:pPr>
      <w:r>
        <w:t xml:space="preserve">New Patient Acquisitions</w:t>
      </w:r>
    </w:p>
    <w:p>
      <w:pPr>
        <w:pStyle w:val="BodyText"/>
      </w:pPr>
      <w:r>
        <w:t xml:space="preserve">382</w:t>
      </w:r>
    </w:p>
    <w:p>
      <w:pPr>
        <w:pStyle w:val="BodyText"/>
      </w:pPr>
      <w:r>
        <w:t xml:space="preserve">325</w:t>
      </w:r>
    </w:p>
    <w:p>
      <w:pPr>
        <w:pStyle w:val="BodyText"/>
      </w:pPr>
      <w:r>
        <w:t xml:space="preserve">+17.5%</w:t>
      </w:r>
    </w:p>
    <w:p>
      <w:pPr>
        <w:pStyle w:val="BodyText"/>
      </w:pPr>
      <w:r>
        <w:t xml:space="preserve">Average Transaction Value (ATV)</w:t>
      </w:r>
    </w:p>
    <w:p>
      <w:pPr>
        <w:pStyle w:val="BodyText"/>
      </w:pPr>
      <w:r>
        <w:t xml:space="preserve">£198.70</w:t>
      </w:r>
    </w:p>
    <w:p>
      <w:pPr>
        <w:pStyle w:val="BodyText"/>
      </w:pPr>
      <w:r>
        <w:t xml:space="preserve">£184.20</w:t>
      </w:r>
    </w:p>
    <w:p>
      <w:pPr>
        <w:pStyle w:val="BodyText"/>
      </w:pPr>
      <w:r>
        <w:t xml:space="preserve">+7.9%</w:t>
      </w:r>
    </w:p>
    <w:p>
      <w:pPr>
        <w:pStyle w:val="BodyText"/>
      </w:pPr>
      <w:r>
        <w:t xml:space="preserve">Lens Sales Growth</w:t>
      </w:r>
    </w:p>
    <w:p>
      <w:pPr>
        <w:pStyle w:val="BodyText"/>
      </w:pPr>
      <w:r>
        <w:t xml:space="preserve">&lt; td &gt;+23.6%</w:t>
      </w:r>
    </w:p>
    <w:p>
      <w:pPr>
        <w:pStyle w:val="BodyText"/>
      </w:pPr>
      <w:r>
        <w:t xml:space="preserve">GP Referrals (London Hospitals)</w:t>
      </w:r>
    </w:p>
    <w:p>
      <w:pPr>
        <w:pStyle w:val="BodyText"/>
      </w:pPr>
      <w:r>
        <w:t xml:space="preserve">148</w:t>
      </w:r>
    </w:p>
    <w:p>
      <w:pPr>
        <w:pStyle w:val="BodyText"/>
      </w:pPr>
      <w:r>
        <w:t xml:space="preserve">102</w:t>
      </w:r>
    </w:p>
    <w:p>
      <w:pPr>
        <w:pStyle w:val="BodyText"/>
      </w:pPr>
      <w:r>
        <w:t xml:space="preserve">+45.1%</w:t>
      </w:r>
    </w:p>
    <w:bookmarkEnd w:id="21"/>
    <w:bookmarkStart w:id="22" w:name="Xcd25393dd03899d77caabdee0a7882d2c91ab2c"/>
    <w:p>
      <w:pPr>
        <w:pStyle w:val="Heading2"/>
      </w:pPr>
      <w:r>
        <w:t xml:space="preserve">Market Analysis: United Kingdom London Context</w:t>
      </w:r>
    </w:p>
    <w:p>
      <w:pPr>
        <w:pStyle w:val="FirstParagraph"/>
      </w:pPr>
      <w:r>
        <w:t xml:space="preserve">The optical market in United Kingdom London presents unique opportunities and challenges. With over 9 million residents in Greater London and rising demand for specialist eye care following the National Health Service (NHS) vision screening shortages, our optometrist practice has positioned itself as a leader in private eye care. The London-specific market dynamics include:</w:t>
      </w:r>
    </w:p>
    <w:p>
      <w:pPr>
        <w:numPr>
          <w:ilvl w:val="0"/>
          <w:numId w:val="1001"/>
        </w:numPr>
        <w:pStyle w:val="Compact"/>
      </w:pPr>
      <w:r>
        <w:rPr>
          <w:bCs/>
          <w:b/>
        </w:rPr>
        <w:t xml:space="preserve">Demographic Shifts:</w:t>
      </w:r>
      <w:r>
        <w:t xml:space="preserve"> </w:t>
      </w:r>
      <w:r>
        <w:t xml:space="preserve">32% of London's population is under 35, driving demand for premium lens technologies and digital eye strain solutions</w:t>
      </w:r>
    </w:p>
    <w:p>
      <w:pPr>
        <w:numPr>
          <w:ilvl w:val="0"/>
          <w:numId w:val="1001"/>
        </w:numPr>
        <w:pStyle w:val="Compact"/>
      </w:pPr>
      <w:r>
        <w:rPr>
          <w:bCs/>
          <w:b/>
        </w:rPr>
        <w:t xml:space="preserve">NHS Pressure Points:</w:t>
      </w:r>
      <w:r>
        <w:t xml:space="preserve"> </w:t>
      </w:r>
      <w:r>
        <w:t xml:space="preserve">NHS optician waiting lists exceed 14 weeks in London boroughs, creating a $50M+ private market opportunity</w:t>
      </w:r>
    </w:p>
    <w:p>
      <w:pPr>
        <w:numPr>
          <w:ilvl w:val="0"/>
          <w:numId w:val="1001"/>
        </w:numPr>
        <w:pStyle w:val="Compact"/>
      </w:pPr>
      <w:r>
        <w:rPr>
          <w:bCs/>
          <w:b/>
        </w:rPr>
        <w:t xml:space="preserve">Competitive Landscape:</w:t>
      </w:r>
      <w:r>
        <w:t xml:space="preserve"> </w:t>
      </w:r>
      <w:r>
        <w:t xml:space="preserve">Only 38% of London optometry practices offer comprehensive digital eye health assessments – our differentiator</w:t>
      </w:r>
    </w:p>
    <w:p>
      <w:pPr>
        <w:numPr>
          <w:ilvl w:val="0"/>
          <w:numId w:val="1001"/>
        </w:numPr>
        <w:pStyle w:val="Compact"/>
      </w:pPr>
      <w:r>
        <w:rPr>
          <w:bCs/>
          <w:b/>
        </w:rPr>
        <w:t xml:space="preserve">Regulatory Environment:</w:t>
      </w:r>
      <w:r>
        <w:t xml:space="preserve"> </w:t>
      </w:r>
      <w:r>
        <w:t xml:space="preserve">Compliance with UK's General Optical Council (GOC) standards remains critical for all optometrist services in London</w:t>
      </w:r>
    </w:p>
    <w:bookmarkEnd w:id="22"/>
    <w:bookmarkStart w:id="23" w:name="X52706b0f27245e7b0f6bba073315b07edbeaa9c"/>
    <w:p>
      <w:pPr>
        <w:pStyle w:val="Heading2"/>
      </w:pPr>
      <w:r>
        <w:t xml:space="preserve">Key Achievements Driving Growth in London</w:t>
      </w:r>
    </w:p>
    <w:p>
      <w:pPr>
        <w:pStyle w:val="FirstParagraph"/>
      </w:pPr>
      <w:r>
        <w:t xml:space="preserve">The success of this Sales Report is directly attributable to our strategic focus on United Kingdom London's unique needs. Our flagship achievements include:</w:t>
      </w:r>
    </w:p>
    <w:p>
      <w:pPr>
        <w:numPr>
          <w:ilvl w:val="0"/>
          <w:numId w:val="1002"/>
        </w:numPr>
        <w:pStyle w:val="Compact"/>
      </w:pPr>
      <w:r>
        <w:rPr>
          <w:bCs/>
          <w:b/>
        </w:rPr>
        <w:t xml:space="preserve">London Neighborhood Expansion:</w:t>
      </w:r>
      <w:r>
        <w:t xml:space="preserve"> </w:t>
      </w:r>
      <w:r>
        <w:t xml:space="preserve">Successful launch of mobile optometrist services targeting underserved areas (e.g., Hackney, Tower Hamlets), capturing 22% of new patients from non-traditional segments</w:t>
      </w:r>
    </w:p>
    <w:p>
      <w:pPr>
        <w:numPr>
          <w:ilvl w:val="0"/>
          <w:numId w:val="1002"/>
        </w:numPr>
        <w:pStyle w:val="Compact"/>
      </w:pPr>
      <w:r>
        <w:rPr>
          <w:bCs/>
          <w:b/>
        </w:rPr>
        <w:t xml:space="preserve">NHS Partnership Growth:</w:t>
      </w:r>
      <w:r>
        <w:t xml:space="preserve"> </w:t>
      </w:r>
      <w:r>
        <w:t xml:space="preserve">Secured contracts with 5 London-based private hospitals for routine vision screenings, generating £68,000 in referral revenue – a 193% increase from Q2</w:t>
      </w:r>
    </w:p>
    <w:p>
      <w:pPr>
        <w:numPr>
          <w:ilvl w:val="0"/>
          <w:numId w:val="1002"/>
        </w:numPr>
        <w:pStyle w:val="Compact"/>
      </w:pPr>
      <w:r>
        <w:rPr>
          <w:bCs/>
          <w:b/>
        </w:rPr>
        <w:t xml:space="preserve">Technology Integration:</w:t>
      </w:r>
      <w:r>
        <w:t xml:space="preserve"> </w:t>
      </w:r>
      <w:r>
        <w:t xml:space="preserve">Implemented AI-powered retinal scanning at all London clinics (using UK-approved software), increasing diagnostic accuracy by 41% and boosting premium service uptake by 33%</w:t>
      </w:r>
    </w:p>
    <w:p>
      <w:pPr>
        <w:numPr>
          <w:ilvl w:val="0"/>
          <w:numId w:val="1002"/>
        </w:numPr>
        <w:pStyle w:val="Compact"/>
      </w:pPr>
      <w:r>
        <w:rPr>
          <w:bCs/>
          <w:b/>
        </w:rPr>
        <w:t xml:space="preserve">Loyalty Program Innovation:</w:t>
      </w:r>
      <w:r>
        <w:t xml:space="preserve"> </w:t>
      </w:r>
      <w:r>
        <w:t xml:space="preserve">Launched "London Eye Health Rewards" program, retaining 89% of patients with a £250+ annual spend – significantly above UK industry average of 76%</w:t>
      </w:r>
    </w:p>
    <w:bookmarkEnd w:id="23"/>
    <w:bookmarkStart w:id="24" w:name="challenges-and-strategic-responses"/>
    <w:p>
      <w:pPr>
        <w:pStyle w:val="Heading2"/>
      </w:pPr>
      <w:r>
        <w:t xml:space="preserve">Challenges and Strategic Responses</w:t>
      </w:r>
    </w:p>
    <w:p>
      <w:pPr>
        <w:pStyle w:val="FirstParagraph"/>
      </w:pPr>
      <w:r>
        <w:t xml:space="preserve">Despite strong performance, London-specific challenges required agile solutions:</w:t>
      </w:r>
    </w:p>
    <w:p>
      <w:pPr>
        <w:pStyle w:val="BodyText"/>
      </w:pPr>
      <w:r>
        <w:rPr>
          <w:bCs/>
          <w:b/>
        </w:rPr>
        <w:t xml:space="preserve">Challenge: Rising Operational Costs in Central London</w:t>
      </w:r>
    </w:p>
    <w:p>
      <w:pPr>
        <w:pStyle w:val="BodyText"/>
      </w:pPr>
      <w:r>
        <w:rPr>
          <w:iCs/>
          <w:i/>
        </w:rPr>
        <w:t xml:space="preserve">Solution:</w:t>
      </w:r>
      <w:r>
        <w:t xml:space="preserve"> </w:t>
      </w:r>
      <w:r>
        <w:t xml:space="preserve">Implemented shared-service model across 3 London clinics (Westminster, Camden, Southwark), reducing overhead by 18% while maintaining clinical standards. This optimization directly supports our sales growth strategy in United Kingdom's most expensive market.</w:t>
      </w:r>
    </w:p>
    <w:p>
      <w:pPr>
        <w:pStyle w:val="BodyText"/>
      </w:pPr>
      <w:r>
        <w:rPr>
          <w:bCs/>
          <w:b/>
        </w:rPr>
        <w:t xml:space="preserve">Challenge: Patient Acquisition Cost (PAC) Inflation</w:t>
      </w:r>
    </w:p>
    <w:p>
      <w:pPr>
        <w:pStyle w:val="BodyText"/>
      </w:pPr>
      <w:r>
        <w:rPr>
          <w:iCs/>
          <w:i/>
        </w:rPr>
        <w:t xml:space="preserve">Solution:</w:t>
      </w:r>
      <w:r>
        <w:t xml:space="preserve"> </w:t>
      </w:r>
      <w:r>
        <w:t xml:space="preserve">Shifted marketing focus from digital ads to community partnerships (e.g., London schools, corporate wellness programs), reducing PAC by 27% while increasing local brand recognition.</w:t>
      </w:r>
    </w:p>
    <w:bookmarkEnd w:id="24"/>
    <w:bookmarkStart w:id="25" w:name="Xedb13697a2e41996c20f28cc4e36c551d047c33"/>
    <w:p>
      <w:pPr>
        <w:pStyle w:val="Heading2"/>
      </w:pPr>
      <w:r>
        <w:t xml:space="preserve">Future Outlook and Strategic Recommendations</w:t>
      </w:r>
    </w:p>
    <w:p>
      <w:pPr>
        <w:pStyle w:val="FirstParagraph"/>
      </w:pPr>
      <w:r>
        <w:t xml:space="preserve">The trajectory for our optometrist practice in United Kingdom London remains exceptionally strong. Based on current performance metrics, we project a 20-25% revenue increase for 2024. Critical initiatives include:</w:t>
      </w:r>
    </w:p>
    <w:p>
      <w:pPr>
        <w:numPr>
          <w:ilvl w:val="0"/>
          <w:numId w:val="1003"/>
        </w:numPr>
        <w:pStyle w:val="Compact"/>
      </w:pPr>
      <w:r>
        <w:rPr>
          <w:bCs/>
          <w:b/>
        </w:rPr>
        <w:t xml:space="preserve">Expansion into High-Demand Suburbs:</w:t>
      </w:r>
      <w:r>
        <w:t xml:space="preserve"> </w:t>
      </w:r>
      <w:r>
        <w:t xml:space="preserve">Targeting boroughs like Croydon and Bromley where NHS eye care access is most limited</w:t>
      </w:r>
    </w:p>
    <w:p>
      <w:pPr>
        <w:numPr>
          <w:ilvl w:val="0"/>
          <w:numId w:val="1003"/>
        </w:numPr>
        <w:pStyle w:val="Compact"/>
      </w:pPr>
      <w:r>
        <w:rPr>
          <w:bCs/>
          <w:b/>
        </w:rPr>
        <w:t xml:space="preserve">Premium Service Development:</w:t>
      </w:r>
      <w:r>
        <w:t xml:space="preserve"> </w:t>
      </w:r>
      <w:r>
        <w:t xml:space="preserve">Launching London-exclusive "Vision for Life" package (including telehealth follow-ups) at £450+ premium, capitalizing on affluent client base</w:t>
      </w:r>
    </w:p>
    <w:p>
      <w:pPr>
        <w:numPr>
          <w:ilvl w:val="0"/>
          <w:numId w:val="1003"/>
        </w:numPr>
        <w:pStyle w:val="Compact"/>
      </w:pPr>
      <w:r>
        <w:rPr>
          <w:bCs/>
          <w:b/>
        </w:rPr>
        <w:t xml:space="preserve">Sustainability Integration:</w:t>
      </w:r>
      <w:r>
        <w:t xml:space="preserve"> </w:t>
      </w:r>
      <w:r>
        <w:t xml:space="preserve">Implementing eco-friendly lens manufacturing partnerships – appealing to London's growing environmentally conscious demographic</w:t>
      </w:r>
    </w:p>
    <w:p>
      <w:pPr>
        <w:numPr>
          <w:ilvl w:val="0"/>
          <w:numId w:val="1003"/>
        </w:numPr>
        <w:pStyle w:val="Compact"/>
      </w:pPr>
      <w:r>
        <w:rPr>
          <w:bCs/>
          <w:b/>
        </w:rPr>
        <w:t xml:space="preserve">Talent Acquisition Strategy:</w:t>
      </w:r>
      <w:r>
        <w:t xml:space="preserve"> </w:t>
      </w:r>
      <w:r>
        <w:t xml:space="preserve">Partnering with University of London optometry programs to secure top graduates for our expanding London clinics</w:t>
      </w:r>
    </w:p>
    <w:bookmarkEnd w:id="25"/>
    <w:bookmarkStart w:id="26" w:name="X87eea1232f691328f6aaa35a3daead9c179e71f"/>
    <w:p>
      <w:pPr>
        <w:pStyle w:val="Heading2"/>
      </w:pPr>
      <w:r>
        <w:t xml:space="preserve">Conclusion: Sustaining Leadership in United Kingdom London Optometry</w:t>
      </w:r>
    </w:p>
    <w:p>
      <w:pPr>
        <w:pStyle w:val="FirstParagraph"/>
      </w:pPr>
      <w:r>
        <w:t xml:space="preserve">This Sales Report demonstrates that our optometrist practice has not only met but exceeded expectations in the complex United Kingdom London market. The 17.3% revenue growth across Q3 underscores our ability to navigate London's unique healthcare ecosystem while delivering exceptional patient outcomes. As we move toward 2024, our focus remains on deepening community trust across all boroughs, leveraging technological innovation approved by UK regulatory bodies, and maintaining the highest clinical standards demanded by London patients.</w:t>
      </w:r>
    </w:p>
    <w:p>
      <w:pPr>
        <w:pStyle w:val="BodyText"/>
      </w:pPr>
      <w:r>
        <w:t xml:space="preserve">Crucially, this report confirms that strategic investment in London-specific solutions – rather than generic national approaches – generates sustainable competitive advantage. We recommend doubling down on neighborhood-level engagement across United Kingdom London to capitalize on the £85M+ private eye care market growth projected for 2024-2026 by Optometry UK.</w:t>
      </w:r>
    </w:p>
    <w:p>
      <w:pPr>
        <w:pStyle w:val="BodyText"/>
      </w:pPr>
      <w:r>
        <w:t xml:space="preserve">This Sales Report is confidential and prepared exclusively for the London Optometry Network. All data reflects operations within United Kingdom London as of Q3 2023.</w:t>
      </w:r>
    </w:p>
    <w:p>
      <w:pPr>
        <w:pStyle w:val="BodyText"/>
      </w:pPr>
      <w:r>
        <w:t xml:space="preserve">Prepared by: Strategic Analysis Department | Certified Optometrist Practice Management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United Kingdom London</dc:title>
  <dc:creator/>
  <dc:language>en</dc:language>
  <cp:keywords/>
  <dcterms:created xsi:type="dcterms:W3CDTF">2026-07-23T22:26:18Z</dcterms:created>
  <dcterms:modified xsi:type="dcterms:W3CDTF">2026-07-23T22:26:18Z</dcterms:modified>
</cp:coreProperties>
</file>

<file path=docProps/custom.xml><?xml version="1.0" encoding="utf-8"?>
<Properties xmlns="http://schemas.openxmlformats.org/officeDocument/2006/custom-properties" xmlns:vt="http://schemas.openxmlformats.org/officeDocument/2006/docPropsVTypes"/>
</file>