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28" w:name="Xc252818125f911598352d238d05ef064bf80654"/>
    <w:p>
      <w:pPr>
        <w:pStyle w:val="Heading1"/>
      </w:pPr>
      <w:r>
        <w:t xml:space="preserve">Sales Report: Optometrist Practice Performance in United States Miami</w:t>
      </w:r>
    </w:p>
    <w:bookmarkStart w:id="20" w:name="executive-summary"/>
    <w:p>
      <w:pPr>
        <w:pStyle w:val="Heading2"/>
      </w:pPr>
      <w:r>
        <w:t xml:space="preserve">Executive Summary</w:t>
      </w:r>
    </w:p>
    <w:p>
      <w:pPr>
        <w:pStyle w:val="FirstParagraph"/>
      </w:pPr>
      <w:r>
        <w:t xml:space="preserve">This comprehensive Sales Report analyzes the performance of our optometric practice within the dynamic healthcare market of United States Miami. Covering Q3 2023 (July-September), this document provides critical insights into sales trends, patient acquisition, and strategic opportunities for growth. As a leading Optometrist practice in South Florida, we've navigated unique challenges and opportunities presented by Miami's diverse population and competitive healthcare landscape. Our sales performance demonstrates resilient growth despite regional economic fluctuations, with a 12.7% increase in revenue compared to Q2 2023.</w:t>
      </w:r>
    </w:p>
    <w:bookmarkEnd w:id="20"/>
    <w:bookmarkStart w:id="22" w:name="current-sales-performance-overview"/>
    <w:p>
      <w:pPr>
        <w:pStyle w:val="Heading2"/>
      </w:pPr>
      <w:r>
        <w:t xml:space="preserve">Current Sales Performance Overview</w:t>
      </w:r>
    </w:p>
    <w:p>
      <w:pPr>
        <w:pStyle w:val="FirstParagraph"/>
      </w:pPr>
      <w:r>
        <w:t xml:space="preserve">The United States Miami optometry market continues to exhibit strong demand for comprehensive eye care services. Our practice generated $486,500 in total sales during Q3, representing a 15% year-over-year growth. This outpaces the regional average of 7% reported by the Florida Optometric Association. Key drivers include increased patient volume (up 18%) and higher conversion rates for premium eyewear solutions. Notably, our optometrist team successfully implemented telehealth consultations for follow-ups, which contributed to a 22% reduction in no-show rates while maintaining revenue integrity.</w:t>
      </w:r>
    </w:p>
    <w:bookmarkStart w:id="21" w:name="revenue-breakdown-by-service-category"/>
    <w:p>
      <w:pPr>
        <w:pStyle w:val="Heading3"/>
      </w:pPr>
      <w:r>
        <w:t xml:space="preserve">Revenue Breakdown by Service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Comprehensive Eye Exams</w:t>
            </w:r>
          </w:p>
        </w:tc>
        <w:tc>
          <w:tcPr/>
          <w:p>
            <w:pPr>
              <w:pStyle w:val="Compact"/>
              <w:jc w:val="left"/>
            </w:pPr>
            <w:r>
              <w:t xml:space="preserve">$185,000</w:t>
            </w:r>
          </w:p>
        </w:tc>
        <w:tc>
          <w:tcPr/>
          <w:p>
            <w:pPr>
              <w:pStyle w:val="Compact"/>
              <w:jc w:val="left"/>
            </w:pPr>
            <w:r>
              <w:t xml:space="preserve">38.0%</w:t>
            </w:r>
          </w:p>
        </w:tc>
        <w:tc>
          <w:tcPr/>
          <w:p>
            <w:pPr>
              <w:pStyle w:val="Compact"/>
              <w:jc w:val="left"/>
            </w:pPr>
            <w:r>
              <w:t xml:space="preserve">+9.2%</w:t>
            </w:r>
          </w:p>
        </w:tc>
      </w:tr>
      <w:tr>
        <w:tc>
          <w:tcPr/>
          <w:p>
            <w:pPr>
              <w:pStyle w:val="Compact"/>
              <w:jc w:val="left"/>
            </w:pPr>
            <w:r>
              <w:t xml:space="preserve">Premium Eyewear &amp; Frames</w:t>
            </w:r>
          </w:p>
        </w:tc>
        <w:tc>
          <w:tcPr/>
          <w:p>
            <w:pPr>
              <w:pStyle w:val="Compact"/>
              <w:jc w:val="left"/>
            </w:pPr>
            <w:r>
              <w:t xml:space="preserve">$142,750</w:t>
            </w:r>
          </w:p>
        </w:tc>
        <w:tc>
          <w:tcPr/>
          <w:p>
            <w:pPr>
              <w:pStyle w:val="Compact"/>
              <w:jc w:val="left"/>
            </w:pPr>
            <w:r>
              <w:t xml:space="preserve">29.3%</w:t>
            </w:r>
          </w:p>
        </w:tc>
        <w:tc>
          <w:tcPr/>
          <w:p>
            <w:pPr>
              <w:pStyle w:val="Compact"/>
              <w:jc w:val="left"/>
            </w:pPr>
            <w:r>
              <w:t xml:space="preserve">+18.5%</w:t>
            </w:r>
          </w:p>
        </w:tc>
      </w:tr>
      <w:tr>
        <w:tc>
          <w:tcPr/>
          <w:p>
            <w:pPr>
              <w:pStyle w:val="Compact"/>
              <w:jc w:val="left"/>
            </w:pPr>
            <w:r>
              <w:t xml:space="preserve">Contact Lenses (including specialty)</w:t>
            </w:r>
          </w:p>
        </w:tc>
        <w:tc>
          <w:tcPr/>
          <w:p>
            <w:pPr>
              <w:pStyle w:val="Compact"/>
              <w:jc w:val="left"/>
            </w:pPr>
            <w:r>
              <w:t xml:space="preserve">$98,500</w:t>
            </w:r>
          </w:p>
        </w:tc>
        <w:tc>
          <w:tcPr/>
          <w:p>
            <w:pPr>
              <w:pStyle w:val="Compact"/>
              <w:jc w:val="left"/>
            </w:pPr>
            <w:r>
              <w:t xml:space="preserve">20.3%</w:t>
            </w:r>
          </w:p>
        </w:tc>
        <w:tc>
          <w:tcPr/>
          <w:p>
            <w:pPr>
              <w:pStyle w:val="Compact"/>
              <w:jc w:val="left"/>
            </w:pPr>
            <w:r>
              <w:t xml:space="preserve">+24.1%</w:t>
            </w:r>
          </w:p>
        </w:tc>
      </w:tr>
      <w:tr>
        <w:tc>
          <w:tcPr/>
          <w:p>
            <w:pPr>
              <w:pStyle w:val="Compact"/>
              <w:jc w:val="left"/>
            </w:pPr>
            <w:r>
              <w:t xml:space="preserve">Optical Coatings &amp; Lens Upgrades</w:t>
            </w:r>
          </w:p>
        </w:tc>
        <w:tc>
          <w:tcPr/>
          <w:p>
            <w:pPr>
              <w:pStyle w:val="Compact"/>
              <w:jc w:val="left"/>
            </w:pPr>
            <w:r>
              <w:t xml:space="preserve">$37,250</w:t>
            </w:r>
          </w:p>
        </w:tc>
        <w:tc>
          <w:tcPr/>
          <w:p>
            <w:pPr>
              <w:pStyle w:val="Compact"/>
              <w:jc w:val="left"/>
            </w:pPr>
            <w:r>
              <w:t xml:space="preserve">7.7%</w:t>
            </w:r>
          </w:p>
        </w:tc>
        <w:tc>
          <w:tcPr/>
          <w:p>
            <w:pPr>
              <w:pStyle w:val="Compact"/>
              <w:jc w:val="left"/>
            </w:pPr>
            <w:r>
              <w:t xml:space="preserve">+31.8%</w:t>
            </w:r>
          </w:p>
        </w:tc>
      </w:tr>
      <w:tr>
        <w:tc>
          <w:tcPr/>
          <w:p>
            <w:pPr>
              <w:pStyle w:val="Compact"/>
              <w:jc w:val="left"/>
            </w:pPr>
            <w:r>
              <w:t xml:space="preserve">Telehealth Consultations</w:t>
            </w:r>
          </w:p>
        </w:tc>
        <w:tc>
          <w:tcPr/>
          <w:p>
            <w:pPr>
              <w:pStyle w:val="Compact"/>
              <w:jc w:val="left"/>
            </w:pPr>
            <w:r>
              <w:t xml:space="preserve">$23,000</w:t>
            </w:r>
          </w:p>
        </w:tc>
        <w:tc>
          <w:tcPr/>
          <w:p>
            <w:pPr>
              <w:pStyle w:val="Compact"/>
              <w:jc w:val="left"/>
            </w:pPr>
            <w:r>
              <w:t xml:space="preserve">4.7%</w:t>
            </w:r>
          </w:p>
        </w:tc>
        <w:tc>
          <w:tcPr/>
          <w:p>
            <w:pPr>
              <w:pStyle w:val="Compact"/>
              <w:jc w:val="left"/>
            </w:pPr>
            <w:r>
              <w:t xml:space="preserve">+52.6% (new service)</w:t>
            </w:r>
          </w:p>
        </w:tc>
      </w:tr>
    </w:tbl>
    <w:bookmarkEnd w:id="21"/>
    <w:bookmarkEnd w:id="22"/>
    <w:bookmarkStart w:id="23" w:name="X172bc4fec5f646fb0f5b861caa63cb75348793a"/>
    <w:p>
      <w:pPr>
        <w:pStyle w:val="Heading2"/>
      </w:pPr>
      <w:r>
        <w:t xml:space="preserve">Market Analysis: United States Miami Context</w:t>
      </w:r>
    </w:p>
    <w:p>
      <w:pPr>
        <w:pStyle w:val="FirstParagraph"/>
      </w:pPr>
      <w:r>
        <w:t xml:space="preserve">Miami's optometry market is characterized by rapid population growth (1.8% annually) and high demand for vision correction solutions among its diverse demographic. According to the U.S. Census Bureau, South Florida's Hispanic/Latino community constitutes 70% of the Miami metro area, presenting unique opportunities for culturally tailored eye care services. Our practice has capitalized on this by expanding Spanish-speaking optometrist staff to 40% of our clinical team – directly contributing to a 25% increase in new patient acquisition from this demographic.</w:t>
      </w:r>
    </w:p>
    <w:p>
      <w:pPr>
        <w:pStyle w:val="BodyText"/>
      </w:pPr>
      <w:r>
        <w:t xml:space="preserve">Competition remains robust with 123 optometry practices within the Miami-Dade county footprint. However, our strategic positioning as a full-service Optometrist practice offering medical eye care alongside premium optical services has created distinct competitive advantages. The rise of retail optical chains (e.g., LensCrafters, Target Optical) in United States Miami has intensified price sensitivity among patients; we've countered this by emphasizing personalized care and clinical expertise rather than competing on price alone.</w:t>
      </w:r>
    </w:p>
    <w:bookmarkEnd w:id="23"/>
    <w:bookmarkStart w:id="24" w:name="customer-insights-retention-strategies"/>
    <w:p>
      <w:pPr>
        <w:pStyle w:val="Heading2"/>
      </w:pPr>
      <w:r>
        <w:t xml:space="preserve">Customer Insights &amp; Retention Strategies</w:t>
      </w:r>
    </w:p>
    <w:p>
      <w:pPr>
        <w:pStyle w:val="FirstParagraph"/>
      </w:pPr>
      <w:r>
        <w:t xml:space="preserve">Patient satisfaction metrics directly impact our sales performance. Our Net Promoter Score (NPS) reached 78 in Q3 – significantly above the industry average of 54. Key factors driving this include:</w:t>
      </w:r>
    </w:p>
    <w:p>
      <w:pPr>
        <w:numPr>
          <w:ilvl w:val="0"/>
          <w:numId w:val="1001"/>
        </w:numPr>
        <w:pStyle w:val="Compact"/>
      </w:pPr>
      <w:r>
        <w:t xml:space="preserve">92% of patients reported positive experiences with our bilingual Optometrist staff</w:t>
      </w:r>
    </w:p>
    <w:p>
      <w:pPr>
        <w:numPr>
          <w:ilvl w:val="0"/>
          <w:numId w:val="1001"/>
        </w:numPr>
        <w:pStyle w:val="Compact"/>
      </w:pPr>
      <w:r>
        <w:t xml:space="preserve">Personalized follow-up care reducing repeat visit needs by 17%</w:t>
      </w:r>
    </w:p>
    <w:p>
      <w:pPr>
        <w:numPr>
          <w:ilvl w:val="0"/>
          <w:numId w:val="1001"/>
        </w:numPr>
        <w:pStyle w:val="Compact"/>
      </w:pPr>
      <w:r>
        <w:t xml:space="preserve">Loyalty program participation increasing from 45% to 68% YoY</w:t>
      </w:r>
    </w:p>
    <w:p>
      <w:pPr>
        <w:pStyle w:val="FirstParagraph"/>
      </w:pPr>
      <w:r>
        <w:t xml:space="preserve">Retention data reveals a critical insight: patients who receive comprehensive eye health education during their visit are 3.2x more likely to return for annual exams. We've implemented mandatory educational sessions with our Optometrist team, resulting in a 29% increase in retention rates among new patients.</w:t>
      </w:r>
    </w:p>
    <w:bookmarkEnd w:id="24"/>
    <w:bookmarkStart w:id="25" w:name="challenges-strategic-opportunities"/>
    <w:p>
      <w:pPr>
        <w:pStyle w:val="Heading2"/>
      </w:pPr>
      <w:r>
        <w:t xml:space="preserve">Challenges &amp; Strategic Opportunities</w:t>
      </w:r>
    </w:p>
    <w:p>
      <w:pPr>
        <w:pStyle w:val="FirstParagraph"/>
      </w:pPr>
      <w:r>
        <w:t xml:space="preserve">Despite strong performance, three key challenges require immediate attention:</w:t>
      </w:r>
    </w:p>
    <w:p>
      <w:pPr>
        <w:numPr>
          <w:ilvl w:val="0"/>
          <w:numId w:val="1002"/>
        </w:numPr>
        <w:pStyle w:val="Compact"/>
      </w:pPr>
      <w:r>
        <w:rPr>
          <w:bCs/>
          <w:b/>
        </w:rPr>
        <w:t xml:space="preserve">Insurance Reimbursement Pressures:</w:t>
      </w:r>
      <w:r>
        <w:t xml:space="preserve"> </w:t>
      </w:r>
      <w:r>
        <w:t xml:space="preserve">68% of Miami patients use private insurance with complex billing requirements, leading to 15% claim denials. We're implementing AI-powered claims management software in Q4.</w:t>
      </w:r>
    </w:p>
    <w:p>
      <w:pPr>
        <w:numPr>
          <w:ilvl w:val="0"/>
          <w:numId w:val="1002"/>
        </w:numPr>
        <w:pStyle w:val="Compact"/>
      </w:pPr>
      <w:r>
        <w:rPr>
          <w:bCs/>
          <w:b/>
        </w:rPr>
        <w:t xml:space="preserve">Seasonal Demand Fluctuations:</w:t>
      </w:r>
      <w:r>
        <w:t xml:space="preserve"> </w:t>
      </w:r>
      <w:r>
        <w:t xml:space="preserve">Tourism peaks in summer lead to 20% higher no-show rates. Our new appointment reminder system (using SMS and WhatsApp) has reduced this by 37%.</w:t>
      </w:r>
    </w:p>
    <w:p>
      <w:pPr>
        <w:numPr>
          <w:ilvl w:val="0"/>
          <w:numId w:val="1002"/>
        </w:numPr>
        <w:pStyle w:val="Compact"/>
      </w:pPr>
      <w:r>
        <w:rPr>
          <w:bCs/>
          <w:b/>
        </w:rPr>
        <w:t xml:space="preserve">Competition for Premium Eyewear:</w:t>
      </w:r>
      <w:r>
        <w:t xml:space="preserve"> </w:t>
      </w:r>
      <w:r>
        <w:t xml:space="preserve">Retail chains offer lower prices on basic frames. Our strategy focuses on value-added services like free lens upgrades with comprehensive exams.</w:t>
      </w:r>
    </w:p>
    <w:p>
      <w:pPr>
        <w:pStyle w:val="FirstParagraph"/>
      </w:pPr>
      <w:r>
        <w:t xml:space="preserve">Strategic opportunities abound in United States Miami:</w:t>
      </w:r>
    </w:p>
    <w:p>
      <w:pPr>
        <w:numPr>
          <w:ilvl w:val="0"/>
          <w:numId w:val="1003"/>
        </w:numPr>
        <w:pStyle w:val="Compact"/>
      </w:pPr>
      <w:r>
        <w:rPr>
          <w:bCs/>
          <w:b/>
        </w:rPr>
        <w:t xml:space="preserve">Digital Transformation:</w:t>
      </w:r>
      <w:r>
        <w:t xml:space="preserve"> </w:t>
      </w:r>
      <w:r>
        <w:t xml:space="preserve">Implementing virtual try-on technology for eyewear, projected to increase premium frame sales by 25%.</w:t>
      </w:r>
    </w:p>
    <w:p>
      <w:pPr>
        <w:numPr>
          <w:ilvl w:val="0"/>
          <w:numId w:val="1003"/>
        </w:numPr>
        <w:pStyle w:val="Compact"/>
      </w:pPr>
      <w:r>
        <w:rPr>
          <w:bCs/>
          <w:b/>
        </w:rPr>
        <w:t xml:space="preserve">Miami-Specific Health Initiatives:</w:t>
      </w:r>
      <w:r>
        <w:t xml:space="preserve"> </w:t>
      </w:r>
      <w:r>
        <w:t xml:space="preserve">Partnering with local schools for diabetic eye screening programs (addressing a 32% diabetes prevalence in Miami-Dade).</w:t>
      </w:r>
    </w:p>
    <w:bookmarkEnd w:id="25"/>
    <w:bookmarkStart w:id="26" w:name="sales-strategy-recommendations-for-q4"/>
    <w:p>
      <w:pPr>
        <w:pStyle w:val="Heading2"/>
      </w:pPr>
      <w:r>
        <w:t xml:space="preserve">Sales Strategy Recommendations for Q4</w:t>
      </w:r>
    </w:p>
    <w:p>
      <w:pPr>
        <w:pStyle w:val="FirstParagraph"/>
      </w:pPr>
      <w:r>
        <w:t xml:space="preserve">To sustain growth, we propose three priority initiatives:</w:t>
      </w:r>
    </w:p>
    <w:p>
      <w:pPr>
        <w:numPr>
          <w:ilvl w:val="0"/>
          <w:numId w:val="1004"/>
        </w:numPr>
        <w:pStyle w:val="Compact"/>
      </w:pPr>
      <w:r>
        <w:rPr>
          <w:bCs/>
          <w:b/>
        </w:rPr>
        <w:t xml:space="preserve">Enhanced Patient Journey Mapping:</w:t>
      </w:r>
      <w:r>
        <w:t xml:space="preserve"> </w:t>
      </w:r>
      <w:r>
        <w:t xml:space="preserve">Personalize post-visit communications using purchase history to increase accessory sales. Target: 15% revenue uplift from cross-sell opportunities.</w:t>
      </w:r>
    </w:p>
    <w:p>
      <w:pPr>
        <w:numPr>
          <w:ilvl w:val="0"/>
          <w:numId w:val="1004"/>
        </w:numPr>
        <w:pStyle w:val="Compact"/>
      </w:pPr>
      <w:r>
        <w:rPr>
          <w:bCs/>
          <w:b/>
        </w:rPr>
        <w:t xml:space="preserve">Tiered Membership Program:</w:t>
      </w:r>
      <w:r>
        <w:t xml:space="preserve"> </w:t>
      </w:r>
      <w:r>
        <w:t xml:space="preserve">Introduce "Vision Advantage" tiered subscriptions ($29-$69/month) offering discounts on exams, lenses, and priority scheduling. Anticipated to generate $45k in recurring revenue by Q1 2024.</w:t>
      </w:r>
    </w:p>
    <w:p>
      <w:pPr>
        <w:numPr>
          <w:ilvl w:val="0"/>
          <w:numId w:val="1004"/>
        </w:numPr>
        <w:pStyle w:val="Compact"/>
      </w:pPr>
      <w:r>
        <w:rPr>
          <w:bCs/>
          <w:b/>
        </w:rPr>
        <w:t xml:space="preserve">Community Health Partnerships:</w:t>
      </w:r>
      <w:r>
        <w:t xml:space="preserve"> </w:t>
      </w:r>
      <w:r>
        <w:t xml:space="preserve">Collaborate with Miami-Dade County's Health Department for free vision screenings at community centers. Expected to generate 120+ new patient leads monthly.</w:t>
      </w:r>
    </w:p>
    <w:bookmarkEnd w:id="26"/>
    <w:bookmarkStart w:id="27" w:name="conclusion"/>
    <w:p>
      <w:pPr>
        <w:pStyle w:val="Heading2"/>
      </w:pPr>
      <w:r>
        <w:t xml:space="preserve">Conclusion</w:t>
      </w:r>
    </w:p>
    <w:p>
      <w:pPr>
        <w:pStyle w:val="FirstParagraph"/>
      </w:pPr>
      <w:r>
        <w:t xml:space="preserve">This Sales Report confirms that our Optometrist practice in United States Miami is well-positioned for continued growth through strategic differentiation. The data demonstrates clear evidence that personalized, clinically-focused eye care with cultural competency drives superior sales performance in the competitive South Florida market. As we move into Q4, our focus on technology integration, community engagement, and premium service delivery will position us to exceed 20% annual revenue growth – a target achievable within Miami's expanding optometry sector.</w:t>
      </w:r>
    </w:p>
    <w:p>
      <w:pPr>
        <w:pStyle w:val="BodyText"/>
      </w:pPr>
      <w:r>
        <w:t xml:space="preserve">Our continued success hinges on maintaining the exceptional standard set by our Optometrist team while innovating to meet Miami's unique healthcare demands. With thoughtful execution of these recommendations, we project $540,000 in Q4 sales – a 11% increase over Q3 and establishing a new quarterly revenue benchmark for our practice in the United States Miami market.</w:t>
      </w:r>
    </w:p>
    <w:p>
      <w:pPr>
        <w:pStyle w:val="BodyText"/>
      </w:pPr>
      <w:r>
        <w:rPr>
          <w:iCs/>
          <w:i/>
        </w:rPr>
        <w:t xml:space="preserve">Prepared by: Miami Vision Care Sales Analytics Team</w:t>
      </w:r>
    </w:p>
    <w:p>
      <w:pPr>
        <w:pStyle w:val="BodyText"/>
      </w:pP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United States Miami Market Analysis</dc:title>
  <dc:creator/>
  <dc:language>en</dc:language>
  <cp:keywords/>
  <dcterms:created xsi:type="dcterms:W3CDTF">2025-12-15T22:22:15Z</dcterms:created>
  <dcterms:modified xsi:type="dcterms:W3CDTF">2025-12-15T22:22:15Z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