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Market</w:t>
      </w:r>
      <w:r>
        <w:t xml:space="preserve"> </w:t>
      </w:r>
      <w:r>
        <w:t xml:space="preserve">Analysis</w:t>
      </w:r>
    </w:p>
    <w:bookmarkStart w:id="27" w:name="Xe72bac1cf657a07ccadb7a698f7bfbb5f47b5da"/>
    <w:p>
      <w:pPr>
        <w:pStyle w:val="Heading1"/>
      </w:pPr>
      <w:r>
        <w:t xml:space="preserve">Comprehensive Sales Report: Optometrist Practice Performance in United States New York City</w:t>
      </w:r>
    </w:p>
    <w:bookmarkStart w:id="20" w:name="executive-summary"/>
    <w:p>
      <w:pPr>
        <w:pStyle w:val="Heading2"/>
      </w:pPr>
      <w:r>
        <w:t xml:space="preserve">Executive Summary</w:t>
      </w:r>
    </w:p>
    <w:p>
      <w:pPr>
        <w:pStyle w:val="FirstParagraph"/>
      </w:pPr>
      <w:r>
        <w:t xml:space="preserve">This sales report details the performance of our optometric practice across all locations within United States New York City for the fiscal quarter ending June 30, 2024. As a leading provider of comprehensive eye care services in one of the world's most dynamic urban healthcare markets, this document serves as a critical assessment tool for strategic decision-making. The report confirms sustained growth in patient volume and revenue streams despite evolving market dynamics in New York City. Our Optometrist practice has demonstrated exceptional resilience with 15.3% year-over-year revenue growth, outperforming the NYC optometry sector average of 7.8%. This success stems from our community-focused approach to eye care delivery within the complex healthcare ecosystem of United States New York City.</w:t>
      </w:r>
    </w:p>
    <w:bookmarkEnd w:id="20"/>
    <w:bookmarkStart w:id="21" w:name="current-sales-performance-overview"/>
    <w:p>
      <w:pPr>
        <w:pStyle w:val="Heading2"/>
      </w:pPr>
      <w:r>
        <w:t xml:space="preserve">Current Sales Performance Overview</w:t>
      </w:r>
    </w:p>
    <w:p>
      <w:pPr>
        <w:pStyle w:val="FirstParagraph"/>
      </w:pPr>
      <w:r>
        <w:t xml:space="preserve">During Q2 2024, our New York City-based optometrist practice generated $1.87 million in total revenue, representing a significant 15.3% increase from the same period last year. This growth is particularly notable given NYC's high operational costs and competitive healthcare environment. Key performance indicators reveal robust performance across all service lines:</w:t>
      </w:r>
    </w:p>
    <w:p>
      <w:pPr>
        <w:numPr>
          <w:ilvl w:val="0"/>
          <w:numId w:val="1001"/>
        </w:numPr>
        <w:pStyle w:val="Compact"/>
      </w:pPr>
      <w:r>
        <w:rPr>
          <w:bCs/>
          <w:b/>
        </w:rPr>
        <w:t xml:space="preserve">Comprehensive Eye Exams:</w:t>
      </w:r>
      <w:r>
        <w:t xml:space="preserve"> </w:t>
      </w:r>
      <w:r>
        <w:t xml:space="preserve">8,240 procedures (18% YoY increase), generating $765,000 in revenue</w:t>
      </w:r>
    </w:p>
    <w:p>
      <w:pPr>
        <w:numPr>
          <w:ilvl w:val="0"/>
          <w:numId w:val="1001"/>
        </w:numPr>
        <w:pStyle w:val="Compact"/>
      </w:pPr>
      <w:r>
        <w:rPr>
          <w:bCs/>
          <w:b/>
        </w:rPr>
        <w:t xml:space="preserve">Optical Sales (Frames &amp; Lenses):</w:t>
      </w:r>
      <w:r>
        <w:t xml:space="preserve"> </w:t>
      </w:r>
      <w:r>
        <w:t xml:space="preserve">$682,500 revenue from 3,975 pairs of eyewear sold</w:t>
      </w:r>
    </w:p>
    <w:p>
      <w:pPr>
        <w:numPr>
          <w:ilvl w:val="0"/>
          <w:numId w:val="1001"/>
        </w:numPr>
        <w:pStyle w:val="Compact"/>
      </w:pPr>
      <w:r>
        <w:rPr>
          <w:bCs/>
          <w:b/>
        </w:rPr>
        <w:t xml:space="preserve">Contact Lens Fittings:</w:t>
      </w:r>
      <w:r>
        <w:t xml:space="preserve"> </w:t>
      </w:r>
      <w:r>
        <w:t xml:space="preserve">2,150 fittings (14.7% YoY growth)</w:t>
      </w:r>
    </w:p>
    <w:p>
      <w:pPr>
        <w:numPr>
          <w:ilvl w:val="0"/>
          <w:numId w:val="1001"/>
        </w:numPr>
        <w:pStyle w:val="Compact"/>
      </w:pPr>
      <w:r>
        <w:rPr>
          <w:bCs/>
          <w:b/>
        </w:rPr>
        <w:t xml:space="preserve">Specialized Services:</w:t>
      </w:r>
      <w:r>
        <w:t xml:space="preserve"> </w:t>
      </w:r>
      <w:r>
        <w:t xml:space="preserve">Diabetic retinal screenings ($98,300) and pediatric eye care ($124,600)</w:t>
      </w:r>
    </w:p>
    <w:p>
      <w:pPr>
        <w:pStyle w:val="FirstParagraph"/>
      </w:pPr>
      <w:r>
        <w:t xml:space="preserve">The average transaction value increased by 5.2% to $374 per patient visit, driven by higher-margin optical sales and premium lens technology adoption. Patient retention rates reached 82%, significantly exceeding the NYC industry benchmark of 71%. This loyalty stems from our practice's commitment to personalized care within New York City's diverse demographic landscape.</w:t>
      </w:r>
    </w:p>
    <w:bookmarkEnd w:id="21"/>
    <w:bookmarkStart w:id="22" w:name="X48819782989f96a9591f9b02cd97ad8430bc687"/>
    <w:p>
      <w:pPr>
        <w:pStyle w:val="Heading2"/>
      </w:pPr>
      <w:r>
        <w:t xml:space="preserve">United States New York City Market Analysis</w:t>
      </w:r>
    </w:p>
    <w:p>
      <w:pPr>
        <w:pStyle w:val="FirstParagraph"/>
      </w:pPr>
      <w:r>
        <w:t xml:space="preserve">New York City presents unique opportunities and challenges for optometrist practices. As the most populous city in the United States with over 8.3 million residents, NYC's healthcare market demands exceptional service differentiation. Our analysis reveals several critical factors shaping performance:</w:t>
      </w:r>
    </w:p>
    <w:p>
      <w:pPr>
        <w:numPr>
          <w:ilvl w:val="0"/>
          <w:numId w:val="1002"/>
        </w:numPr>
        <w:pStyle w:val="Compact"/>
      </w:pPr>
      <w:r>
        <w:rPr>
          <w:bCs/>
          <w:b/>
        </w:rPr>
        <w:t xml:space="preserve">Demographic Shifts:</w:t>
      </w:r>
      <w:r>
        <w:t xml:space="preserve"> </w:t>
      </w:r>
      <w:r>
        <w:t xml:space="preserve">The NYC population growth of 2.1% annually (2023-2024) has increased demand for eye care, particularly among aging demographics (over 65 years) and young professionals with digital eye strain.</w:t>
      </w:r>
    </w:p>
    <w:p>
      <w:pPr>
        <w:numPr>
          <w:ilvl w:val="0"/>
          <w:numId w:val="1002"/>
        </w:numPr>
        <w:pStyle w:val="Compact"/>
      </w:pPr>
      <w:r>
        <w:rPr>
          <w:bCs/>
          <w:b/>
        </w:rPr>
        <w:t xml:space="preserve">Insurance Landscape:</w:t>
      </w:r>
      <w:r>
        <w:t xml:space="preserve"> </w:t>
      </w:r>
      <w:r>
        <w:t xml:space="preserve">We've successfully expanded Medicare Advantage participation by 37%, capturing significant market share in the senior population segment—a critical growth area for NYC optometrists.</w:t>
      </w:r>
    </w:p>
    <w:p>
      <w:pPr>
        <w:numPr>
          <w:ilvl w:val="0"/>
          <w:numId w:val="1002"/>
        </w:numPr>
        <w:pStyle w:val="Compact"/>
      </w:pPr>
      <w:r>
        <w:rPr>
          <w:bCs/>
          <w:b/>
        </w:rPr>
        <w:t xml:space="preserve">Competition Dynamics:</w:t>
      </w:r>
      <w:r>
        <w:t xml:space="preserve"> </w:t>
      </w:r>
      <w:r>
        <w:t xml:space="preserve">While retail chains (LensCrafters, Warby Parker) dominate optical sales, our practice differentiates through clinical expertise and personalized service. We've captured 18% market share in comprehensive exams within Manhattan's Upper East Side—a competitive premium segment.</w:t>
      </w:r>
    </w:p>
    <w:p>
      <w:pPr>
        <w:numPr>
          <w:ilvl w:val="0"/>
          <w:numId w:val="1002"/>
        </w:numPr>
        <w:pStyle w:val="Compact"/>
      </w:pPr>
      <w:r>
        <w:rPr>
          <w:bCs/>
          <w:b/>
        </w:rPr>
        <w:t xml:space="preserve">Trend Integration:</w:t>
      </w:r>
      <w:r>
        <w:t xml:space="preserve"> </w:t>
      </w:r>
      <w:r>
        <w:t xml:space="preserve">Adoption of telehealth for post-operative follow-ups has reduced no-show rates by 23% while improving patient satisfaction scores to 94.6 (vs. NYC average of 87).</w:t>
      </w:r>
    </w:p>
    <w:bookmarkEnd w:id="22"/>
    <w:bookmarkStart w:id="23" w:name="challenges-and-competitive-positioning"/>
    <w:p>
      <w:pPr>
        <w:pStyle w:val="Heading2"/>
      </w:pPr>
      <w:r>
        <w:t xml:space="preserve">Challenges and Competitive Positioning</w:t>
      </w:r>
    </w:p>
    <w:p>
      <w:pPr>
        <w:pStyle w:val="FirstParagraph"/>
      </w:pPr>
      <w:r>
        <w:t xml:space="preserve">Operating as an Optometrist practice in United States New York City presents distinct challenges requiring strategic adaptation:</w:t>
      </w:r>
    </w:p>
    <w:p>
      <w:pPr>
        <w:numPr>
          <w:ilvl w:val="0"/>
          <w:numId w:val="1003"/>
        </w:numPr>
        <w:pStyle w:val="Compact"/>
      </w:pPr>
      <w:r>
        <w:rPr>
          <w:bCs/>
          <w:b/>
        </w:rPr>
        <w:t xml:space="preserve">High Operational Costs:</w:t>
      </w:r>
      <w:r>
        <w:t xml:space="preserve"> </w:t>
      </w:r>
      <w:r>
        <w:t xml:space="preserve">NYC real estate expenses consume 34% of gross revenue (vs. 28% industry average), necessitating optimized scheduling and space utilization strategies.</w:t>
      </w:r>
    </w:p>
    <w:p>
      <w:pPr>
        <w:numPr>
          <w:ilvl w:val="0"/>
          <w:numId w:val="1003"/>
        </w:numPr>
        <w:pStyle w:val="Compact"/>
      </w:pPr>
      <w:r>
        <w:rPr>
          <w:bCs/>
          <w:b/>
        </w:rPr>
        <w:t xml:space="preserve">Patient Acquisition Costs:</w:t>
      </w:r>
      <w:r>
        <w:t xml:space="preserve"> </w:t>
      </w:r>
      <w:r>
        <w:t xml:space="preserve">Digital marketing costs in NYC are 41% higher than national averages, driving us to develop community-based partnerships with local businesses for cost-effective patient referral networks.</w:t>
      </w:r>
    </w:p>
    <w:p>
      <w:pPr>
        <w:numPr>
          <w:ilvl w:val="0"/>
          <w:numId w:val="1003"/>
        </w:numPr>
        <w:pStyle w:val="Compact"/>
      </w:pPr>
      <w:r>
        <w:rPr>
          <w:bCs/>
          <w:b/>
        </w:rPr>
        <w:t xml:space="preserve">Regulatory Environment:</w:t>
      </w:r>
      <w:r>
        <w:t xml:space="preserve"> </w:t>
      </w:r>
      <w:r>
        <w:t xml:space="preserve">Navigating New York State's Optometry Board requirements for continuing education (50+ hours annually) has required dedicated administrative resources.</w:t>
      </w:r>
    </w:p>
    <w:p>
      <w:pPr>
        <w:pStyle w:val="FirstParagraph"/>
      </w:pPr>
      <w:r>
        <w:t xml:space="preserve">Despite these challenges, our practice maintains a 23.7% market share in comprehensive eye care services within the five boroughs—a testament to our clinical excellence and patient-centered approach. This competitive advantage is amplified by our strategic location in Manhattan, Brooklyn, and Queens with high foot traffic from diverse ethnic communities (Latinx: 42%, Asian: 31%, African American: 18%).</w:t>
      </w:r>
    </w:p>
    <w:bookmarkEnd w:id="23"/>
    <w:bookmarkStart w:id="24" w:name="X123819295607ec31b24e11d9dbb0abb9ad6386f"/>
    <w:p>
      <w:pPr>
        <w:pStyle w:val="Heading2"/>
      </w:pPr>
      <w:r>
        <w:t xml:space="preserve">Growth Opportunities for NYC Optometrist Practices</w:t>
      </w:r>
    </w:p>
    <w:p>
      <w:pPr>
        <w:pStyle w:val="FirstParagraph"/>
      </w:pPr>
      <w:r>
        <w:t xml:space="preserve">Based on our Q2 performance and NYC market trends, three key opportunities present themselves for expansion:</w:t>
      </w:r>
    </w:p>
    <w:p>
      <w:pPr>
        <w:numPr>
          <w:ilvl w:val="0"/>
          <w:numId w:val="1004"/>
        </w:numPr>
        <w:pStyle w:val="Compact"/>
      </w:pPr>
      <w:r>
        <w:rPr>
          <w:bCs/>
          <w:b/>
        </w:rPr>
        <w:t xml:space="preserve">Telehealth Expansion:</w:t>
      </w:r>
      <w:r>
        <w:t xml:space="preserve"> </w:t>
      </w:r>
      <w:r>
        <w:t xml:space="preserve">We're piloting a virtual pediatric vision screening program targeting underserved school districts in Queens, projected to generate $150K in new revenue within 18 months.</w:t>
      </w:r>
    </w:p>
    <w:p>
      <w:pPr>
        <w:numPr>
          <w:ilvl w:val="0"/>
          <w:numId w:val="1004"/>
        </w:numPr>
        <w:pStyle w:val="Compact"/>
      </w:pPr>
      <w:r>
        <w:rPr>
          <w:bCs/>
          <w:b/>
        </w:rPr>
        <w:t xml:space="preserve">Niche Specialization:</w:t>
      </w:r>
      <w:r>
        <w:t xml:space="preserve"> </w:t>
      </w:r>
      <w:r>
        <w:t xml:space="preserve">Developing a "Digital Eye Care" certification program addressing screen-related eye strain—addressing the 68% of NYC professionals reporting digital eye fatigue (per New York State Health Department data).</w:t>
      </w:r>
    </w:p>
    <w:bookmarkEnd w:id="24"/>
    <w:bookmarkStart w:id="25" w:name="strategic-recommendations"/>
    <w:p>
      <w:pPr>
        <w:pStyle w:val="Heading2"/>
      </w:pPr>
      <w:r>
        <w:t xml:space="preserve">Strategic Recommendations</w:t>
      </w:r>
    </w:p>
    <w:p>
      <w:pPr>
        <w:pStyle w:val="FirstParagraph"/>
      </w:pPr>
      <w:r>
        <w:t xml:space="preserve">To sustain and accelerate growth in United States New York City, we recommend the following actions:</w:t>
      </w:r>
    </w:p>
    <w:p>
      <w:pPr>
        <w:numPr>
          <w:ilvl w:val="0"/>
          <w:numId w:val="1005"/>
        </w:numPr>
        <w:pStyle w:val="Compact"/>
      </w:pPr>
      <w:r>
        <w:rPr>
          <w:bCs/>
          <w:b/>
        </w:rPr>
        <w:t xml:space="preserve">Implement AI-Powered Scheduling:</w:t>
      </w:r>
      <w:r>
        <w:t xml:space="preserve"> </w:t>
      </w:r>
      <w:r>
        <w:t xml:space="preserve">Deploy predictive analytics to optimize appointment slots based on NYC weather patterns (e.g., increasing capacity for outdoor activities during summer months), projected to reduce patient wait times by 30%.</w:t>
      </w:r>
    </w:p>
    <w:p>
      <w:pPr>
        <w:numPr>
          <w:ilvl w:val="0"/>
          <w:numId w:val="1005"/>
        </w:numPr>
        <w:pStyle w:val="Compact"/>
      </w:pPr>
      <w:r>
        <w:rPr>
          <w:bCs/>
          <w:b/>
        </w:rPr>
        <w:t xml:space="preserve">Luxury Optical Line Expansion:</w:t>
      </w:r>
      <w:r>
        <w:t xml:space="preserve"> </w:t>
      </w:r>
      <w:r>
        <w:t xml:space="preserve">Introduce high-end designer frames with exclusive NYC partnerships, targeting affluent Manhattan clientele who demonstrate 42% higher spending per visit.</w:t>
      </w:r>
    </w:p>
    <w:p>
      <w:pPr>
        <w:numPr>
          <w:ilvl w:val="0"/>
          <w:numId w:val="1005"/>
        </w:numPr>
        <w:pStyle w:val="Compact"/>
      </w:pPr>
      <w:r>
        <w:rPr>
          <w:bCs/>
          <w:b/>
        </w:rPr>
        <w:t xml:space="preserve">Workplace Vision Programs:</w:t>
      </w:r>
      <w:r>
        <w:t xml:space="preserve"> </w:t>
      </w:r>
      <w:r>
        <w:t xml:space="preserve">Develop customized corporate eye care packages for NYC's finance and tech sectors (e.g., Goldman Sachs, Google NY), leveraging our existing B2B relationships to secure 15+ new employer contracts by Q4 2024.</w:t>
      </w:r>
    </w:p>
    <w:bookmarkEnd w:id="25"/>
    <w:bookmarkStart w:id="26" w:name="conclusion"/>
    <w:p>
      <w:pPr>
        <w:pStyle w:val="Heading2"/>
      </w:pPr>
      <w:r>
        <w:t xml:space="preserve">Conclusion</w:t>
      </w:r>
    </w:p>
    <w:p>
      <w:pPr>
        <w:pStyle w:val="FirstParagraph"/>
      </w:pPr>
      <w:r>
        <w:t xml:space="preserve">This sales report confirms that our Optometrist practice has not only thrived in the demanding United States New York City marketplace but has established itself as a community healthcare leader. The 15.3% revenue growth demonstrates successful adaptation to NYC's unique healthcare environment while maintaining exceptional clinical standards. Our strategic focus on personalized service, technological integration, and community engagement positions us for continued leadership in the city's optometric sector.</w:t>
      </w:r>
    </w:p>
    <w:p>
      <w:pPr>
        <w:pStyle w:val="BodyText"/>
      </w:pPr>
      <w:r>
        <w:t xml:space="preserve">As we move into the second half of 2024, our practice will prioritize expanding telehealth capabilities and developing targeted programs for NYC's aging population—addressing a critical gap in vision care access. The data clearly indicates that practices delivering both clinical excellence and community responsiveness will dominate New York City's optometry landscape. This Sales Report underscores our commitment to being the premier Optometrist provider in United States New York City, where quality eye care is not merely a service but a fundamental component of urban health equity.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United States New York City Market Analysis</dc:title>
  <dc:creator/>
  <dc:language>en</dc:language>
  <cp:keywords/>
  <dcterms:created xsi:type="dcterms:W3CDTF">2026-07-24T13:24:17Z</dcterms:created>
  <dcterms:modified xsi:type="dcterms:W3CDTF">2026-07-24T13:24:17Z</dcterms:modified>
</cp:coreProperties>
</file>

<file path=docProps/custom.xml><?xml version="1.0" encoding="utf-8"?>
<Properties xmlns="http://schemas.openxmlformats.org/officeDocument/2006/custom-properties" xmlns:vt="http://schemas.openxmlformats.org/officeDocument/2006/docPropsVTypes"/>
</file>