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Optometrist</w:t>
      </w:r>
      <w:r>
        <w:t xml:space="preserve"> </w:t>
      </w:r>
      <w:r>
        <w:t xml:space="preserve">Business</w:t>
      </w:r>
      <w:r>
        <w:t xml:space="preserve"> </w:t>
      </w:r>
      <w:r>
        <w:t xml:space="preserve">Performance</w:t>
      </w:r>
      <w:r>
        <w:t xml:space="preserve"> </w:t>
      </w:r>
      <w:r>
        <w:t xml:space="preserve">-</w:t>
      </w:r>
      <w:r>
        <w:t xml:space="preserve"> </w:t>
      </w:r>
      <w:r>
        <w:t xml:space="preserve">Caracas,</w:t>
      </w:r>
      <w:r>
        <w:t xml:space="preserve"> </w:t>
      </w:r>
      <w:r>
        <w:t xml:space="preserve">Venezuela</w:t>
      </w:r>
    </w:p>
    <w:bookmarkStart w:id="30" w:name="Xe48954a7206d583913a9bebf5f33da494d7ebcc"/>
    <w:p>
      <w:pPr>
        <w:pStyle w:val="Heading1"/>
      </w:pPr>
      <w:r>
        <w:t xml:space="preserve">Quarterly Sales Report for Optometrist Services - Venezuela Caracas</w:t>
      </w:r>
    </w:p>
    <w:bookmarkStart w:id="20" w:name="executive-summary"/>
    <w:p>
      <w:pPr>
        <w:pStyle w:val="Heading2"/>
      </w:pPr>
      <w:r>
        <w:t xml:space="preserve">Executive Summary</w:t>
      </w:r>
    </w:p>
    <w:p>
      <w:pPr>
        <w:pStyle w:val="FirstParagraph"/>
      </w:pPr>
      <w:r>
        <w:t xml:space="preserve">This comprehensive Sales Report details the performance of our optometry services in Caracas, Venezuela, covering the period from January to March 2024. Despite ongoing economic challenges in Venezuela, our optometrist practice has demonstrated resilience through strategic adaptation to local market needs. The report analyzes sales trends, customer demographics, product/service performance, and actionable recommendations for sustained growth within the Caracas healthcare landscape. As the demand for vision care continues to rise in Venezuela's capital city, this document serves as a critical roadmap for our optometrist business operations.</w:t>
      </w:r>
    </w:p>
    <w:bookmarkEnd w:id="20"/>
    <w:bookmarkStart w:id="21" w:name="X2af92b49f8fbc5bb45d1487285626072fc4b115"/>
    <w:p>
      <w:pPr>
        <w:pStyle w:val="Heading2"/>
      </w:pPr>
      <w:r>
        <w:t xml:space="preserve">Market Context: Optometry Services in Venezuela Caracas</w:t>
      </w:r>
    </w:p>
    <w:p>
      <w:pPr>
        <w:pStyle w:val="FirstParagraph"/>
      </w:pPr>
      <w:r>
        <w:t xml:space="preserve">The optometry sector in Caracas faces unique dynamics shaped by Venezuela's economic environment. With approximately 50% of the population reporting vision issues according to recent Venezuelan Ministry of Health data, the market potential remains substantial. However, currency fluctuations and supply chain disruptions have intensified operational complexity for healthcare providers. Our Caracas-based optometrist practice has strategically positioned itself as a reliable provider by focusing on locally available optical solutions and community health partnerships. This report confirms that while sales growth is moderate (4.2% QoQ), our market share in the Caracas premium eyewear segment has increased by 8.7% compared to last year.</w:t>
      </w:r>
    </w:p>
    <w:p>
      <w:pPr>
        <w:pStyle w:val="BodyText"/>
      </w:pPr>
      <w:r>
        <w:rPr>
          <w:bCs/>
          <w:b/>
        </w:rPr>
        <w:t xml:space="preserve">Key Insight:</w:t>
      </w:r>
      <w:r>
        <w:t xml:space="preserve"> </w:t>
      </w:r>
      <w:r>
        <w:t xml:space="preserve">In Venezuela Caracas, where specialized eye care access remains limited outside major clinics, our optometrist practice has become a critical community resource, serving over 3,200 patients quarterly despite economic headwinds.</w:t>
      </w:r>
    </w:p>
    <w:bookmarkEnd w:id="21"/>
    <w:bookmarkStart w:id="22" w:name="X6da1ebb2d932be46a7fde6883a4a503fc96017e"/>
    <w:p>
      <w:pPr>
        <w:pStyle w:val="Heading2"/>
      </w:pPr>
      <w:r>
        <w:t xml:space="preserve">Sales Performance Overview (January-March 2024)</w:t>
      </w:r>
    </w:p>
    <w:p>
      <w:pPr>
        <w:pStyle w:val="FirstParagraph"/>
      </w:pPr>
      <w:r>
        <w:t xml:space="preserve">Performance Metric</w:t>
      </w:r>
    </w:p>
    <w:bookmarkEnd w:id="22"/>
    <w:p>
      <w:pPr>
        <w:pStyle w:val="BodyText"/>
      </w:pPr>
      <w:r>
        <w:t xml:space="preserve">Q1 2024</w:t>
      </w:r>
    </w:p>
    <w:p>
      <w:pPr>
        <w:pStyle w:val="BodyText"/>
      </w:pPr>
      <w:r>
        <w:t xml:space="preserve">Q4 2023</w:t>
      </w:r>
    </w:p>
    <w:p>
      <w:pPr>
        <w:pStyle w:val="BodyText"/>
      </w:pPr>
      <w:r>
        <w:t xml:space="preserve">% Change</w:t>
      </w:r>
    </w:p>
    <w:p>
      <w:pPr>
        <w:pStyle w:val="BodyText"/>
      </w:pPr>
      <w:r>
        <w:t xml:space="preserve">Total Revenue (VES)</w:t>
      </w:r>
    </w:p>
    <w:p>
      <w:pPr>
        <w:pStyle w:val="BodyText"/>
      </w:pPr>
      <w:r>
        <w:t xml:space="preserve">1,875,000,000</w:t>
      </w:r>
    </w:p>
    <w:p>
      <w:pPr>
        <w:pStyle w:val="BodyText"/>
      </w:pPr>
      <w:r>
        <w:t xml:space="preserve">1,795,423,258</w:t>
      </w:r>
    </w:p>
    <w:p>
      <w:pPr>
        <w:pStyle w:val="BodyText"/>
      </w:pPr>
      <w:r>
        <w:t xml:space="preserve">+4.4%</w:t>
      </w:r>
    </w:p>
    <w:p>
      <w:pPr>
        <w:pStyle w:val="BodyText"/>
      </w:pPr>
      <w:r>
        <w:t xml:space="preserve">New Patient Visits</w:t>
      </w:r>
    </w:p>
    <w:p>
      <w:pPr>
        <w:pStyle w:val="BodyText"/>
      </w:pPr>
      <w:r>
        <w:t xml:space="preserve">1,283</w:t>
      </w:r>
    </w:p>
    <w:p>
      <w:pPr>
        <w:pStyle w:val="BodyText"/>
      </w:pPr>
      <w:r>
        <w:t xml:space="preserve">1,197</w:t>
      </w:r>
    </w:p>
    <w:p>
      <w:pPr>
        <w:pStyle w:val="BodyText"/>
      </w:pPr>
      <w:r>
        <w:t xml:space="preserve">+7.2%</w:t>
      </w:r>
    </w:p>
    <w:p>
      <w:pPr>
        <w:pStyle w:val="BodyText"/>
      </w:pPr>
      <w:r>
        <w:t xml:space="preserve">Sales of Prescription Eyewear</w:t>
      </w:r>
    </w:p>
    <w:p>
      <w:pPr>
        <w:pStyle w:val="BodyText"/>
      </w:pPr>
      <w:r>
        <w:t xml:space="preserve">64%</w:t>
      </w:r>
    </w:p>
    <w:p>
      <w:pPr>
        <w:pStyle w:val="BodyText"/>
      </w:pPr>
      <w:r>
        <w:t xml:space="preserve">Sales of Contact Lenses</w:t>
      </w:r>
    </w:p>
    <w:p>
      <w:pPr>
        <w:pStyle w:val="BodyText"/>
      </w:pPr>
      <w:r>
        <w:t xml:space="preserve">22%</w:t>
      </w:r>
    </w:p>
    <w:p>
      <w:pPr>
        <w:pStyle w:val="BodyText"/>
      </w:pPr>
      <w:r>
        <w:t xml:space="preserve">Diagnostic Services</w:t>
      </w:r>
    </w:p>
    <w:p>
      <w:pPr>
        <w:pStyle w:val="BodyText"/>
      </w:pPr>
      <w:r>
        <w:t xml:space="preserve">14%</w:t>
      </w:r>
    </w:p>
    <w:p>
      <w:pPr>
        <w:pStyle w:val="BodyText"/>
      </w:pPr>
      <w:r>
        <w:t xml:space="preserve">The revenue growth in Venezuela Caracas is particularly notable given the national average inflation rate exceeding 300% annually. Our optometrist practice achieved this through strategic pricing tiers and a shift toward value-based eyewear packages. The most significant growth driver was prescription eyeglasses (64% of sales), with demand for affordable frames increasing by 18% as patients seek durable alternatives to imported products.</w:t>
      </w:r>
    </w:p>
    <w:bookmarkStart w:id="25" w:name="productservice-performance-analysis"/>
    <w:p>
      <w:pPr>
        <w:pStyle w:val="Heading2"/>
      </w:pPr>
      <w:r>
        <w:t xml:space="preserve">Product/Service Performance Analysis</w:t>
      </w:r>
    </w:p>
    <w:bookmarkStart w:id="23" w:name="premium-eyewear-segment"/>
    <w:p>
      <w:pPr>
        <w:pStyle w:val="Heading3"/>
      </w:pPr>
      <w:r>
        <w:t xml:space="preserve">Premium Eyewear Segment</w:t>
      </w:r>
    </w:p>
    <w:p>
      <w:pPr>
        <w:pStyle w:val="FirstParagraph"/>
      </w:pPr>
      <w:r>
        <w:t xml:space="preserve">Our high-quality imported frames (from Mexico and Colombia) remain the most profitable category, generating 48% of total eyewear revenue. However, sales volume decreased by 6.5% due to currency constraints limiting import availability. To counter this, we introduced a "Venezuela Crafted" line using local materials in collaboration with Caracas artisans, which captured 12% of the market share within three months.</w:t>
      </w:r>
    </w:p>
    <w:bookmarkEnd w:id="23"/>
    <w:bookmarkStart w:id="24" w:name="essential-vision-care-services"/>
    <w:p>
      <w:pPr>
        <w:pStyle w:val="Heading3"/>
      </w:pPr>
      <w:r>
        <w:t xml:space="preserve">Essential Vision Care Services</w:t>
      </w:r>
    </w:p>
    <w:p>
      <w:pPr>
        <w:pStyle w:val="FirstParagraph"/>
      </w:pPr>
      <w:r>
        <w:t xml:space="preserve">Diagnostics and basic eye exams (76% of our service portfolio) grew by 9.3% as patients prioritize preventive care over luxury options. Our optometrist team saw a 28% increase in pediatric consultations—a critical need given Venezuela's high childhood myopia rates (estimated at 40%). This segment contributed to our strongest quarterly customer retention rate (78%) among all service categories.</w:t>
      </w:r>
    </w:p>
    <w:p>
      <w:pPr>
        <w:pStyle w:val="BodyText"/>
      </w:pPr>
      <w:r>
        <w:rPr>
          <w:bCs/>
          <w:b/>
        </w:rPr>
        <w:t xml:space="preserve">Market Insight:</w:t>
      </w:r>
      <w:r>
        <w:t xml:space="preserve"> </w:t>
      </w:r>
      <w:r>
        <w:t xml:space="preserve">In Caracas, where access to specialized optometrist care is limited to only 35% of the population, our practice has become a trusted referral hub for primary healthcare facilities across Venezuela.</w:t>
      </w:r>
    </w:p>
    <w:bookmarkEnd w:id="24"/>
    <w:bookmarkEnd w:id="25"/>
    <w:bookmarkStart w:id="26" w:name="X79b336b6fc1a6656384bb55fcd7468e54395355"/>
    <w:p>
      <w:pPr>
        <w:pStyle w:val="Heading2"/>
      </w:pPr>
      <w:r>
        <w:t xml:space="preserve">Economic and Operational Challenges in Venezuela Caracas</w:t>
      </w:r>
    </w:p>
    <w:p>
      <w:pPr>
        <w:pStyle w:val="FirstParagraph"/>
      </w:pPr>
      <w:r>
        <w:t xml:space="preserve">The Sales Report identifies three critical challenges impacting optometry sales performance:</w:t>
      </w:r>
    </w:p>
    <w:p>
      <w:pPr>
        <w:numPr>
          <w:ilvl w:val="0"/>
          <w:numId w:val="1001"/>
        </w:numPr>
        <w:pStyle w:val="Compact"/>
      </w:pPr>
      <w:r>
        <w:rPr>
          <w:bCs/>
          <w:b/>
        </w:rPr>
        <w:t xml:space="preserve">Supply Chain Disruptions:</w:t>
      </w:r>
      <w:r>
        <w:t xml:space="preserve"> </w:t>
      </w:r>
      <w:r>
        <w:t xml:space="preserve">68% of imported lens materials face 45-90 day delays, forcing us to ration premium products and prioritize essential eye care over non-essential optics.</w:t>
      </w:r>
    </w:p>
    <w:p>
      <w:pPr>
        <w:numPr>
          <w:ilvl w:val="0"/>
          <w:numId w:val="1001"/>
        </w:numPr>
        <w:pStyle w:val="Compact"/>
      </w:pPr>
      <w:r>
        <w:rPr>
          <w:bCs/>
          <w:b/>
        </w:rPr>
        <w:t xml:space="preserve">Currency Volatility:</w:t>
      </w:r>
      <w:r>
        <w:t xml:space="preserve"> </w:t>
      </w:r>
      <w:r>
        <w:t xml:space="preserve">Despite VES pricing adjustments, revenue in USD terms decreased by 12% when converted at the official exchange rate (vs. market rate), directly affecting our ability to purchase critical equipment.</w:t>
      </w:r>
    </w:p>
    <w:p>
      <w:pPr>
        <w:numPr>
          <w:ilvl w:val="0"/>
          <w:numId w:val="1001"/>
        </w:numPr>
        <w:pStyle w:val="Compact"/>
      </w:pPr>
      <w:r>
        <w:t xml:space="preserve">Purchasing Power Erosion: 62% of Caracas patients now require payment plans for eyewear due to income instability, reducing average transaction value by 23% compared to pre-2021 levels.</w:t>
      </w:r>
    </w:p>
    <w:p>
      <w:pPr>
        <w:pStyle w:val="FirstParagraph"/>
      </w:pPr>
      <w:r>
        <w:t xml:space="preserve">Nevertheless, our optometrist team has mitigated these challenges through community health partnerships and flexible financing models. We now partner with 8 local clinics in Caracas for patient referrals, sharing diagnostic equipment and reducing operational costs by 15%.</w:t>
      </w:r>
    </w:p>
    <w:bookmarkEnd w:id="26"/>
    <w:bookmarkStart w:id="28" w:name="X445c5fffcadf2aef7465f8ed8cbea9caf1370e4"/>
    <w:p>
      <w:pPr>
        <w:pStyle w:val="Heading2"/>
      </w:pPr>
      <w:r>
        <w:t xml:space="preserve">Growth Opportunities for Optometrist Practice in Venezuela Caracas</w:t>
      </w:r>
    </w:p>
    <w:bookmarkStart w:id="27" w:name="strategic-initiatives-identified"/>
    <w:p>
      <w:pPr>
        <w:pStyle w:val="Heading3"/>
      </w:pPr>
      <w:r>
        <w:t xml:space="preserve">Strategic Initiatives Identified:</w:t>
      </w:r>
    </w:p>
    <w:p>
      <w:pPr>
        <w:numPr>
          <w:ilvl w:val="0"/>
          <w:numId w:val="1002"/>
        </w:numPr>
        <w:pStyle w:val="Compact"/>
      </w:pPr>
      <w:r>
        <w:rPr>
          <w:bCs/>
          <w:b/>
        </w:rPr>
        <w:t xml:space="preserve">Local Manufacturing Partnerships:</w:t>
      </w:r>
      <w:r>
        <w:t xml:space="preserve"> </w:t>
      </w:r>
      <w:r>
        <w:t xml:space="preserve">Collaborating with Venezuelan textile producers to create affordable, durable frame lines using locally sourced materials (projected 25% cost reduction).</w:t>
      </w:r>
    </w:p>
    <w:p>
      <w:pPr>
        <w:numPr>
          <w:ilvl w:val="0"/>
          <w:numId w:val="1002"/>
        </w:numPr>
        <w:pStyle w:val="Compact"/>
      </w:pPr>
      <w:r>
        <w:rPr>
          <w:bCs/>
          <w:b/>
        </w:rPr>
        <w:t xml:space="preserve">Telereconsultation Expansion:</w:t>
      </w:r>
      <w:r>
        <w:t xml:space="preserve"> </w:t>
      </w:r>
      <w:r>
        <w:t xml:space="preserve">Launching a WhatsApp-based screening service for rural Caracas communities, expected to increase patient volume by 30% within six months.</w:t>
      </w:r>
    </w:p>
    <w:p>
      <w:pPr>
        <w:numPr>
          <w:ilvl w:val="0"/>
          <w:numId w:val="1002"/>
        </w:numPr>
        <w:pStyle w:val="Compact"/>
      </w:pPr>
      <w:r>
        <w:rPr>
          <w:bCs/>
          <w:b/>
        </w:rPr>
        <w:t xml:space="preserve">Insurance Integration:</w:t>
      </w:r>
      <w:r>
        <w:t xml:space="preserve"> </w:t>
      </w:r>
      <w:r>
        <w:t xml:space="preserve">Partnering with national health insurance providers (including the Venezuelan Social Security System) to offer covered vision services—potentially adding 1,500 new monthly patients.</w:t>
      </w:r>
    </w:p>
    <w:p>
      <w:pPr>
        <w:pStyle w:val="FirstParagraph"/>
      </w:pPr>
      <w:r>
        <w:t xml:space="preserve">The Sales Report indicates that 74% of Caracas residents express interest in affordable eye exams when cost barriers are reduced. Our upcoming initiative offering free basic screenings at community centers (funded through corporate partnerships) aligns with this demand and positions us for market leadership.</w:t>
      </w:r>
    </w:p>
    <w:bookmarkEnd w:id="27"/>
    <w:bookmarkEnd w:id="28"/>
    <w:bookmarkStart w:id="29" w:name="conclusion-and-strategic-recommendations"/>
    <w:p>
      <w:pPr>
        <w:pStyle w:val="Heading2"/>
      </w:pPr>
      <w:r>
        <w:t xml:space="preserve">Conclusion and Strategic Recommendations</w:t>
      </w:r>
    </w:p>
    <w:p>
      <w:pPr>
        <w:pStyle w:val="FirstParagraph"/>
      </w:pPr>
      <w:r>
        <w:t xml:space="preserve">This Sales Report confirms that while the Venezuela Caracas optometry market faces significant economic hurdles, our business model demonstrates strong adaptability. The 4.4% revenue growth despite national challenges underscores our value proposition in a critical healthcare sector. Our optometrist practice has successfully balanced clinical excellence with community-focused solutions—a necessity in Venezuela's current environment.</w:t>
      </w:r>
    </w:p>
    <w:p>
      <w:pPr>
        <w:pStyle w:val="BodyText"/>
      </w:pPr>
      <w:r>
        <w:t xml:space="preserve">Key recommendations for the next quarter include:</w:t>
      </w:r>
    </w:p>
    <w:p>
      <w:pPr>
        <w:numPr>
          <w:ilvl w:val="0"/>
          <w:numId w:val="1003"/>
        </w:numPr>
        <w:pStyle w:val="Compact"/>
      </w:pPr>
      <w:r>
        <w:t xml:space="preserve">Accelerate local frame production to reduce import dependency by 40% within Q3</w:t>
      </w:r>
    </w:p>
    <w:p>
      <w:pPr>
        <w:numPr>
          <w:ilvl w:val="0"/>
          <w:numId w:val="1003"/>
        </w:numPr>
        <w:pStyle w:val="Compact"/>
      </w:pPr>
      <w:r>
        <w:t xml:space="preserve">Implement a tiered pricing structure for eye exams (free basic screenings, subsidized diagnostics, premium services)</w:t>
      </w:r>
    </w:p>
    <w:p>
      <w:pPr>
        <w:numPr>
          <w:ilvl w:val="0"/>
          <w:numId w:val="1003"/>
        </w:numPr>
        <w:pStyle w:val="Compact"/>
      </w:pPr>
      <w:r>
        <w:t xml:space="preserve">Expand mobile optometry services to underserved Caracas neighborhoods</w:t>
      </w:r>
    </w:p>
    <w:p>
      <w:pPr>
        <w:pStyle w:val="FirstParagraph"/>
      </w:pPr>
      <w:r>
        <w:t xml:space="preserve">As the leading optometrist provider in Venezuela's capital, we must continue prioritizing accessibility without compromising care quality. The data clearly shows that vision health is a non-negotiable priority for Caracas residents—a fact our Sales Report confirms through consistent patient growth despite economic volatility. Our commitment to serving Venezuela Caracas' community with sustainable optometry solutions will define our success in the years ahead.</w:t>
      </w:r>
    </w:p>
    <w:bookmarkEnd w:id="29"/>
    <w:p>
      <w:pPr>
        <w:pStyle w:val="BodyText"/>
      </w:pPr>
      <w:r>
        <w:rPr>
          <w:bCs/>
          <w:b/>
        </w:rPr>
        <w:t xml:space="preserve">Prepared by:</w:t>
      </w:r>
      <w:r>
        <w:t xml:space="preserve"> </w:t>
      </w:r>
      <w:r>
        <w:t xml:space="preserve">Optometry Business Intelligence Division</w:t>
      </w:r>
    </w:p>
    <w:p>
      <w:pPr>
        <w:pStyle w:val="BodyText"/>
      </w:pPr>
      <w:r>
        <w:rPr>
          <w:bCs/>
          <w:b/>
        </w:rPr>
        <w:t xml:space="preserve">Date:</w:t>
      </w:r>
      <w:r>
        <w:t xml:space="preserve"> </w:t>
      </w:r>
      <w:r>
        <w:t xml:space="preserve">April 15, 2024</w:t>
      </w:r>
    </w:p>
    <w:p>
      <w:pPr>
        <w:pStyle w:val="BodyText"/>
      </w:pPr>
      <w:r>
        <w:rPr>
          <w:bCs/>
          <w:b/>
        </w:rPr>
        <w:t xml:space="preserve">Sales Report Reference:</w:t>
      </w:r>
      <w:r>
        <w:t xml:space="preserve"> </w:t>
      </w:r>
      <w:r>
        <w:t xml:space="preserve">OPT-VE-CAR-2024-Q1</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Optometrist Business Performance - Caracas, Venezuela</dc:title>
  <dc:creator/>
  <dc:language>en</dc:language>
  <cp:keywords/>
  <dcterms:created xsi:type="dcterms:W3CDTF">2026-07-21T10:47:12Z</dcterms:created>
  <dcterms:modified xsi:type="dcterms:W3CDTF">2026-07-21T10:47:12Z</dcterms:modified>
</cp:coreProperties>
</file>

<file path=docProps/custom.xml><?xml version="1.0" encoding="utf-8"?>
<Properties xmlns="http://schemas.openxmlformats.org/officeDocument/2006/custom-properties" xmlns:vt="http://schemas.openxmlformats.org/officeDocument/2006/docPropsVTypes"/>
</file>