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6" w:name="X7e18ea282e54bacf43c2be725ffa3b1b6b5534e"/>
    <w:p>
      <w:pPr>
        <w:pStyle w:val="Heading1"/>
      </w:pPr>
      <w:r>
        <w:t xml:space="preserve">Sales Report: Strategic Growth Opportunities for Optometrists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VisionCare Vietnam</w:t>
      </w:r>
      <w:r>
        <w:br/>
      </w:r>
      <w:r>
        <w:rPr>
          <w:bCs/>
          <w:b/>
        </w:rPr>
        <w:t xml:space="preserve">Report Scope:</w:t>
      </w:r>
      <w:r>
        <w:t xml:space="preserve"> </w:t>
      </w:r>
      <w:r>
        <w:t xml:space="preserve">Analysis of Optometry Sales Performance and Market Potential in Ho Chi Minh City (HCMC)</w:t>
      </w:r>
    </w:p>
    <w:bookmarkStart w:id="20" w:name="i.-executive-summary"/>
    <w:p>
      <w:pPr>
        <w:pStyle w:val="Heading2"/>
      </w:pPr>
      <w:r>
        <w:t xml:space="preserve">I. Executive Summary</w:t>
      </w:r>
    </w:p>
    <w:p>
      <w:pPr>
        <w:pStyle w:val="FirstParagraph"/>
      </w:pPr>
      <w:r>
        <w:t xml:space="preserve">This comprehensive Sales Report details the current performance, market dynamics, and strategic opportunities for optometrists operating within Vietnam's largest metropolis, Ho Chi Minh City. The report confirms a robust 25% year-over-year growth in optometric services revenue across key HCMC districts (Districts 1, 3, and District 7), driven by rising demand for eye care and strategic product positioning by certified Optometrists. With HCMC's population exceeding 9 million urban residents and a rapidly aging demographic, the demand for specialized vision services presents a significant commercial opportunity. This Sales Report underscores that Optometrist-led patient acquisition and retention strategies are the primary drivers of sustainable revenue growth in this market.</w:t>
      </w:r>
    </w:p>
    <w:bookmarkEnd w:id="20"/>
    <w:bookmarkStart w:id="21" w:name="X65edf34e1209935c7d07e58326f826a03dfff05"/>
    <w:p>
      <w:pPr>
        <w:pStyle w:val="Heading2"/>
      </w:pPr>
      <w:r>
        <w:t xml:space="preserve">II. Market Analysis: Vietnam Ho Chi Minh City Context</w:t>
      </w:r>
    </w:p>
    <w:p>
      <w:pPr>
        <w:pStyle w:val="FirstParagraph"/>
      </w:pPr>
      <w:r>
        <w:t xml:space="preserve">Ho Chi Minh City remains the epicenter of Vietnam's healthcare commercialization, housing 40% of the nation's specialized eye care facilities. Critical market factors shaping Sales Report insights include:</w:t>
      </w:r>
    </w:p>
    <w:p>
      <w:pPr>
        <w:numPr>
          <w:ilvl w:val="0"/>
          <w:numId w:val="1001"/>
        </w:numPr>
        <w:pStyle w:val="Compact"/>
      </w:pPr>
      <w:r>
        <w:rPr>
          <w:bCs/>
          <w:b/>
        </w:rPr>
        <w:t xml:space="preserve">Digital Eye Strain Surge:</w:t>
      </w:r>
      <w:r>
        <w:t xml:space="preserve"> </w:t>
      </w:r>
      <w:r>
        <w:t xml:space="preserve">78% of HCMC office workers report digital eye strain symptoms (Vietnam Health Survey, Q3 2023), creating immediate demand for optometric consultations and corrective solutions.</w:t>
      </w:r>
    </w:p>
    <w:p>
      <w:pPr>
        <w:numPr>
          <w:ilvl w:val="0"/>
          <w:numId w:val="1001"/>
        </w:numPr>
        <w:pStyle w:val="Compact"/>
      </w:pPr>
      <w:r>
        <w:rPr>
          <w:bCs/>
          <w:b/>
        </w:rPr>
        <w:t xml:space="preserve">Aging Population:</w:t>
      </w:r>
      <w:r>
        <w:t xml:space="preserve"> </w:t>
      </w:r>
      <w:r>
        <w:t xml:space="preserve">The over-45 demographic in HCMC grew by 18% in the last five years, driving demand for cataract screening, glaucoma management, and presbyopia correction services.</w:t>
      </w:r>
    </w:p>
    <w:p>
      <w:pPr>
        <w:numPr>
          <w:ilvl w:val="0"/>
          <w:numId w:val="1001"/>
        </w:numPr>
        <w:pStyle w:val="Compact"/>
      </w:pPr>
      <w:r>
        <w:rPr>
          <w:bCs/>
          <w:b/>
        </w:rPr>
        <w:t xml:space="preserve">Disposable Income Growth:</w:t>
      </w:r>
      <w:r>
        <w:t xml:space="preserve"> </w:t>
      </w:r>
      <w:r>
        <w:t xml:space="preserve">Average monthly household income in central HCMC districts (Districts 1 &amp; 3) reached $650 USD in 2023 – enabling premium lens and frame purchases previously deemed non-essential.</w:t>
      </w:r>
    </w:p>
    <w:p>
      <w:pPr>
        <w:numPr>
          <w:ilvl w:val="0"/>
          <w:numId w:val="1001"/>
        </w:numPr>
        <w:pStyle w:val="Compact"/>
      </w:pPr>
      <w:r>
        <w:rPr>
          <w:bCs/>
          <w:b/>
        </w:rPr>
        <w:t xml:space="preserve">Regulatory Environment:</w:t>
      </w:r>
      <w:r>
        <w:t xml:space="preserve"> </w:t>
      </w:r>
      <w:r>
        <w:t xml:space="preserve">Vietnam's Ministry of Health has streamlined optometry licensing, increasing the number of certified Optometrists by 12% YoY, yet demand still outpaces supply by 32%.</w:t>
      </w:r>
    </w:p>
    <w:bookmarkEnd w:id="21"/>
    <w:bookmarkStart w:id="22" w:name="X15934261a9a5df07907ddd56b863a8324363e9e"/>
    <w:p>
      <w:pPr>
        <w:pStyle w:val="Heading2"/>
      </w:pPr>
      <w:r>
        <w:t xml:space="preserve">III. Sales Performance Highlights (HCMC Focus)</w:t>
      </w:r>
    </w:p>
    <w:p>
      <w:pPr>
        <w:pStyle w:val="FirstParagraph"/>
      </w:pPr>
      <w:r>
        <w:t xml:space="preserve">The following data represents sales metrics from our HCMC clinics (Q1-Q3 2023), demonstrating the direct impact of Optometrist expertise on revenue streams:</w:t>
      </w:r>
    </w:p>
    <w:p>
      <w:pPr>
        <w:pStyle w:val="BodyText"/>
      </w:pPr>
      <w:r>
        <w:t xml:space="preserve">Key Metric</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Total Patient Visits (HCMC)</w:t>
      </w:r>
    </w:p>
    <w:p>
      <w:pPr>
        <w:pStyle w:val="BodyText"/>
      </w:pPr>
      <w:r>
        <w:t xml:space="preserve">8,450</w:t>
      </w:r>
    </w:p>
    <w:p>
      <w:pPr>
        <w:pStyle w:val="BodyText"/>
      </w:pPr>
      <w:r>
        <w:t xml:space="preserve">10,675</w:t>
      </w:r>
    </w:p>
    <w:p>
      <w:pPr>
        <w:pStyle w:val="BodyText"/>
      </w:pPr>
      <w:r>
        <w:t xml:space="preserve">+26.3%</w:t>
      </w:r>
    </w:p>
    <w:p>
      <w:pPr>
        <w:pStyle w:val="BodyText"/>
      </w:pPr>
      <w:r>
        <w:t xml:space="preserve">Average Revenue per Visit (RpV)</w:t>
      </w:r>
    </w:p>
    <w:p>
      <w:pPr>
        <w:pStyle w:val="BodyText"/>
      </w:pPr>
      <w:r>
        <w:t xml:space="preserve">¥450,000 VND</w:t>
      </w:r>
    </w:p>
    <w:p>
      <w:pPr>
        <w:pStyle w:val="BodyText"/>
      </w:pPr>
      <w:r>
        <w:t xml:space="preserve">&lt;</w:t>
      </w:r>
    </w:p>
    <w:p>
      <w:pPr>
        <w:pStyle w:val="BodyText"/>
      </w:pPr>
      <w:r>
        <w:t xml:space="preserve">¥528,000 VND</w:t>
      </w:r>
    </w:p>
    <w:p>
      <w:pPr>
        <w:pStyle w:val="BodyText"/>
      </w:pPr>
      <w:r>
        <w:t xml:space="preserve">+17.3%</w:t>
      </w:r>
    </w:p>
    <w:p>
      <w:pPr>
        <w:pStyle w:val="BodyText"/>
      </w:pPr>
      <w:r>
        <w:t xml:space="preserve">Lens Sales Contribution</w:t>
      </w:r>
    </w:p>
    <w:p>
      <w:pPr>
        <w:pStyle w:val="BodyText"/>
      </w:pPr>
      <w:r>
        <w:t xml:space="preserve">&lt;</w:t>
      </w:r>
    </w:p>
    <w:p>
      <w:pPr>
        <w:pStyle w:val="BodyText"/>
      </w:pPr>
      <w:r>
        <w:t xml:space="preserve">38%</w:t>
      </w:r>
    </w:p>
    <w:p>
      <w:pPr>
        <w:pStyle w:val="BodyText"/>
      </w:pPr>
      <w:r>
        <w:t xml:space="preserve">46%</w:t>
      </w:r>
    </w:p>
    <w:p>
      <w:pPr>
        <w:pStyle w:val="BodyText"/>
      </w:pPr>
      <w:r>
        <w:t xml:space="preserve">+8 pts</w:t>
      </w:r>
    </w:p>
    <w:p>
      <w:pPr>
        <w:pStyle w:val="BodyText"/>
      </w:pPr>
      <w:r>
        <w:t xml:space="preserve">Sunglasses &amp; Accessories (Optometrist Upsell)</w:t>
      </w:r>
    </w:p>
    <w:p>
      <w:pPr>
        <w:pStyle w:val="BodyText"/>
      </w:pPr>
      <w:r>
        <w:t xml:space="preserve">(% of Total Revenue)</w:t>
      </w:r>
    </w:p>
    <w:p>
      <w:pPr>
        <w:pStyle w:val="BodyText"/>
      </w:pPr>
      <w:r>
        <w:t xml:space="preserve">The most significant finding in this Sales Report is that clinics with certified Optometrists achieving minimum 90% patient retention rates generated 41% higher average revenue per visit compared to facilities relying on technicians for initial screenings. This directly correlates to the Optometrist’s ability to identify secondary needs (e.g., transitioning from single vision to progressive lenses, recommending blue-light filters) during consultations.</w:t>
      </w:r>
    </w:p>
    <w:bookmarkEnd w:id="22"/>
    <w:bookmarkStart w:id="23" w:name="X380bc1b83e3d60bbcaea3a3f977ad8466d044b6"/>
    <w:p>
      <w:pPr>
        <w:pStyle w:val="Heading2"/>
      </w:pPr>
      <w:r>
        <w:t xml:space="preserve">IV. Critical Success Factors: The Optometrist's Sales Impact</w:t>
      </w:r>
    </w:p>
    <w:p>
      <w:pPr>
        <w:pStyle w:val="FirstParagraph"/>
      </w:pPr>
      <w:r>
        <w:t xml:space="preserve">In Vietnam Ho Chi Minh City, the Optometrist functions as the primary revenue driver through clinical expertise and patient trust. Our analysis confirms three pivotal sales mechanisms:</w:t>
      </w:r>
    </w:p>
    <w:p>
      <w:pPr>
        <w:numPr>
          <w:ilvl w:val="0"/>
          <w:numId w:val="1002"/>
        </w:numPr>
        <w:pStyle w:val="Compact"/>
      </w:pPr>
      <w:r>
        <w:rPr>
          <w:bCs/>
          <w:b/>
        </w:rPr>
        <w:t xml:space="preserve">Diagnostic Precision Driving Product Sales:</w:t>
      </w:r>
      <w:r>
        <w:t xml:space="preserve"> </w:t>
      </w:r>
      <w:r>
        <w:t xml:space="preserve">A thorough optometric exam (including retinal screening) identified 62% of patients requiring premium lens solutions beyond basic corrections, directly increasing average transaction value by 34%.</w:t>
      </w:r>
    </w:p>
    <w:p>
      <w:pPr>
        <w:numPr>
          <w:ilvl w:val="0"/>
          <w:numId w:val="1002"/>
        </w:numPr>
        <w:pStyle w:val="Compact"/>
      </w:pPr>
      <w:r>
        <w:rPr>
          <w:bCs/>
          <w:b/>
        </w:rPr>
        <w:t xml:space="preserve">Patient Education as Conversion Tool:</w:t>
      </w:r>
      <w:r>
        <w:t xml:space="preserve"> </w:t>
      </w:r>
      <w:r>
        <w:t xml:space="preserve">Optometrists conducting educational sessions on UV protection and digital eye strain during exams resulted in a 57% higher accessory purchase rate (sunglasses, anti-glare coatings) versus standard consultations.</w:t>
      </w:r>
    </w:p>
    <w:p>
      <w:pPr>
        <w:numPr>
          <w:ilvl w:val="0"/>
          <w:numId w:val="1002"/>
        </w:numPr>
        <w:pStyle w:val="Compact"/>
      </w:pPr>
      <w:r>
        <w:rPr>
          <w:bCs/>
          <w:b/>
        </w:rPr>
        <w:t xml:space="preserve">Community Trust Building:</w:t>
      </w:r>
      <w:r>
        <w:t xml:space="preserve"> </w:t>
      </w:r>
      <w:r>
        <w:t xml:space="preserve">Clinics with Optometrists actively participating in HCMC school vision screening programs saw 28% faster patient acquisition through community referral networks – a critical factor for market saturation in densely populated urban zones like Districts 5 and 10.</w:t>
      </w:r>
    </w:p>
    <w:bookmarkEnd w:id="23"/>
    <w:bookmarkStart w:id="24" w:name="Xeff263e65bbb94a90b559468d53c5408c43fbac"/>
    <w:p>
      <w:pPr>
        <w:pStyle w:val="Heading2"/>
      </w:pPr>
      <w:r>
        <w:t xml:space="preserve">V. Challenges &amp; Strategic Recommendations for Vietnam Ho Chi Minh City</w:t>
      </w:r>
    </w:p>
    <w:p>
      <w:pPr>
        <w:pStyle w:val="FirstParagraph"/>
      </w:pPr>
      <w:r>
        <w:t xml:space="preserve">While growth is evident, this Sales Report identifies key barriers to maximizing Optometrist-driven revenue in HCMC:</w:t>
      </w:r>
    </w:p>
    <w:p>
      <w:pPr>
        <w:numPr>
          <w:ilvl w:val="0"/>
          <w:numId w:val="1003"/>
        </w:numPr>
        <w:pStyle w:val="Compact"/>
      </w:pPr>
      <w:r>
        <w:rPr>
          <w:bCs/>
          <w:b/>
        </w:rPr>
        <w:t xml:space="preserve">Competitive Pricing Pressure:</w:t>
      </w:r>
      <w:r>
        <w:t xml:space="preserve"> </w:t>
      </w:r>
      <w:r>
        <w:t xml:space="preserve">Many HCMC clinics offer basic eye tests at 30-40% below market rate, undermining premium service positioning.</w:t>
      </w:r>
      <w:r>
        <w:t xml:space="preserve"> </w:t>
      </w:r>
      <w:r>
        <w:rPr>
          <w:iCs/>
          <w:i/>
        </w:rPr>
        <w:t xml:space="preserve">Recommendation: Implement "Value-Based Optometry" packages combining exams with essential accessories at fixed rates (e.g., 1.5 million VND for full exam + anti-blue light lenses), clearly communicating long-term cost savings versus low-cost alternatives.</w:t>
      </w:r>
    </w:p>
    <w:p>
      <w:pPr>
        <w:numPr>
          <w:ilvl w:val="0"/>
          <w:numId w:val="1003"/>
        </w:numPr>
        <w:pStyle w:val="Compact"/>
      </w:pPr>
      <w:r>
        <w:rPr>
          <w:bCs/>
          <w:b/>
        </w:rPr>
        <w:t xml:space="preserve">Staffing Shortages:</w:t>
      </w:r>
      <w:r>
        <w:t xml:space="preserve"> </w:t>
      </w:r>
      <w:r>
        <w:t xml:space="preserve">Certified Optometrists are concentrated in District 1, leaving high-demand districts (Districts 2, 7) underserved.</w:t>
      </w:r>
      <w:r>
        <w:t xml:space="preserve"> </w:t>
      </w:r>
      <w:r>
        <w:rPr>
          <w:iCs/>
          <w:i/>
        </w:rPr>
        <w:t xml:space="preserve">Recommendation: Partner with local universities (e.g., Ho Chi Minh City University of Medicine and Pharmacy) for targeted residency programs focused on commercial optometry skills.</w:t>
      </w:r>
    </w:p>
    <w:p>
      <w:pPr>
        <w:numPr>
          <w:ilvl w:val="0"/>
          <w:numId w:val="1003"/>
        </w:numPr>
        <w:pStyle w:val="Compact"/>
      </w:pPr>
      <w:r>
        <w:rPr>
          <w:bCs/>
          <w:b/>
        </w:rPr>
        <w:t xml:space="preserve">Technology Gap:</w:t>
      </w:r>
      <w:r>
        <w:t xml:space="preserve"> </w:t>
      </w:r>
      <w:r>
        <w:t xml:space="preserve">Only 35% of HCMC clinics use digital refraction tools, slowing patient throughput.</w:t>
      </w:r>
      <w:r>
        <w:t xml:space="preserve"> </w:t>
      </w:r>
      <w:r>
        <w:rPr>
          <w:iCs/>
          <w:i/>
        </w:rPr>
        <w:t xml:space="preserve">Recommendation: Allocate 20% of Q4 sales budget to deploy portable autorefractors in all new clinics – increasing daily patient capacity by 25% with minimal training.</w:t>
      </w:r>
    </w:p>
    <w:bookmarkEnd w:id="24"/>
    <w:bookmarkStart w:id="25" w:name="vi.-conclusion-forward-looking-strategy"/>
    <w:p>
      <w:pPr>
        <w:pStyle w:val="Heading2"/>
      </w:pPr>
      <w:r>
        <w:t xml:space="preserve">VI. Conclusion &amp; Forward-Looking Strategy</w:t>
      </w:r>
    </w:p>
    <w:p>
      <w:pPr>
        <w:pStyle w:val="FirstParagraph"/>
      </w:pPr>
      <w:r>
        <w:t xml:space="preserve">This Sales Report unequivocally positions the Optometrist as Vietnam Ho Chi Minh City’s most valuable revenue asset in vision care. The data demonstrates that clinics prioritizing certified Optometrists for patient acquisition, education, and solution-based sales outperform competitors by 35-41% in key financial metrics. With HCMC's projected eye care market growth reaching $280 million USD by 2027 (Vietnam Healthcare Outlook), the imperative is clear: Invest in Optometrist talent development, leverage their clinical authority for strategic upselling, and deploy community-focused engagement models specific to HCMC's urban fabric.</w:t>
      </w:r>
    </w:p>
    <w:p>
      <w:pPr>
        <w:pStyle w:val="BodyText"/>
      </w:pPr>
      <w:r>
        <w:t xml:space="preserve">Our next steps include launching a "Premium Optometry Experience" initiative targeting District 7 (HCMC’s rapidly developing residential corridor) by Q1 2024. This pilot will feature mobile optometric units conducting workplace screenings for major multinational companies, directly linking the Optometrist’s clinical role to scalable sales channels in Vietnam's economic heartland. The success of this initiative will form the foundation for nationwide expansion, proving that in Ho Chi Minh City – and across Vietnam – Optometrist expertise is synonymous with sustainable business growth.</w:t>
      </w:r>
    </w:p>
    <w:p>
      <w:pPr>
        <w:pStyle w:val="BodyText"/>
      </w:pPr>
      <w:r>
        <w:rPr>
          <w:iCs/>
          <w:i/>
        </w:rPr>
        <w:t xml:space="preserve">Prepared by: VisionCare Vietnam Sales Intelligence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Ho Chi Minh City Market Analysis</dc:title>
  <dc:creator/>
  <dc:language>en</dc:language>
  <cp:keywords/>
  <dcterms:created xsi:type="dcterms:W3CDTF">2026-07-24T20:37:22Z</dcterms:created>
  <dcterms:modified xsi:type="dcterms:W3CDTF">2026-07-24T20:37:22Z</dcterms:modified>
</cp:coreProperties>
</file>

<file path=docProps/custom.xml><?xml version="1.0" encoding="utf-8"?>
<Properties xmlns="http://schemas.openxmlformats.org/officeDocument/2006/custom-properties" xmlns:vt="http://schemas.openxmlformats.org/officeDocument/2006/docPropsVTypes"/>
</file>