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Kabul,</w:t>
      </w:r>
      <w:r>
        <w:t xml:space="preserve"> </w:t>
      </w:r>
      <w:r>
        <w:t xml:space="preserve">Afghanistan</w:t>
      </w:r>
    </w:p>
    <w:bookmarkStart w:id="27" w:name="X95a26ebbfd4aeb91aa789e0967f82bcf7f21cb2"/>
    <w:p>
      <w:pPr>
        <w:pStyle w:val="Heading1"/>
      </w:pPr>
      <w:r>
        <w:t xml:space="preserve">Sales Performance Report: Orthodontic Services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International Dental Group</w:t>
      </w:r>
      <w:r>
        <w:br/>
      </w:r>
      <w:r>
        <w:rPr>
          <w:bCs/>
          <w:b/>
        </w:rPr>
        <w:t xml:space="preserve">Report Period:</w:t>
      </w:r>
      <w:r>
        <w:t xml:space="preserve"> </w:t>
      </w:r>
      <w:r>
        <w:t xml:space="preserve">July 1 – September 30, 2023</w:t>
      </w:r>
    </w:p>
    <w:bookmarkStart w:id="20" w:name="Xea1afd82d19d20794d92aa082e9431576cafd77"/>
    <w:p>
      <w:pPr>
        <w:pStyle w:val="Heading2"/>
      </w:pPr>
      <w:r>
        <w:t xml:space="preserve">I. Introduction: Orthodontic Market Context in Kabul</w:t>
      </w:r>
    </w:p>
    <w:p>
      <w:pPr>
        <w:pStyle w:val="FirstParagraph"/>
      </w:pPr>
      <w:r>
        <w:t xml:space="preserve">This sales report details the performance of orthodontic services within our practice located in Kabul, Afghanistan. As the capital city's premier provider of specialized dental care, our clinic serves a diverse clientele across Kabul's urban centers. The demand for orthodontic treatment has grown significantly in Afghanistan over the past five years due to rising middle-class populations and increasing health awareness. However, market dynamics remain uniquely challenging in this post-conflict environment where healthcare infrastructure is still developing. This report analyzes sales metrics, customer trends, and strategic opportunities specific to our Kabul operations.</w:t>
      </w:r>
    </w:p>
    <w:bookmarkEnd w:id="20"/>
    <w:bookmarkStart w:id="21" w:name="ii.-sales-performance-summary-q3-2023"/>
    <w:p>
      <w:pPr>
        <w:pStyle w:val="Heading2"/>
      </w:pPr>
      <w:r>
        <w:t xml:space="preserve">II. Sales Performance Summary (Q3 2023)</w:t>
      </w:r>
    </w:p>
    <w:p>
      <w:pPr>
        <w:pStyle w:val="FirstParagraph"/>
      </w:pPr>
      <w:r>
        <w:t xml:space="preserve">Our orthodontic practice in Kabul achieved remarkable growth during Q3 2023, exceeding annual targets by 18%. Total revenue reached $47,500 USD (up from $40,150 in Q2), with the following key drivers:</w:t>
      </w:r>
    </w:p>
    <w:p>
      <w:pPr>
        <w:numPr>
          <w:ilvl w:val="0"/>
          <w:numId w:val="1001"/>
        </w:numPr>
        <w:pStyle w:val="Compact"/>
      </w:pPr>
      <w:r>
        <w:rPr>
          <w:bCs/>
          <w:b/>
        </w:rPr>
        <w:t xml:space="preserve">Initial Consultations:</w:t>
      </w:r>
      <w:r>
        <w:t xml:space="preserve"> </w:t>
      </w:r>
      <w:r>
        <w:t xml:space="preserve">198 appointments (32% increase YoY)</w:t>
      </w:r>
    </w:p>
    <w:p>
      <w:pPr>
        <w:numPr>
          <w:ilvl w:val="0"/>
          <w:numId w:val="1001"/>
        </w:numPr>
        <w:pStyle w:val="Compact"/>
      </w:pPr>
      <w:r>
        <w:rPr>
          <w:bCs/>
          <w:b/>
        </w:rPr>
        <w:t xml:space="preserve">Treatment Startups:</w:t>
      </w:r>
      <w:r>
        <w:t xml:space="preserve"> </w:t>
      </w:r>
      <w:r>
        <w:t xml:space="preserve">76 new orthodontic cases (27% growth from Q2)</w:t>
      </w:r>
    </w:p>
    <w:p>
      <w:pPr>
        <w:numPr>
          <w:ilvl w:val="0"/>
          <w:numId w:val="1001"/>
        </w:numPr>
        <w:pStyle w:val="Compact"/>
      </w:pPr>
      <w:r>
        <w:rPr>
          <w:bCs/>
          <w:b/>
        </w:rPr>
        <w:t xml:space="preserve">Maintenance &amp; Adjustments:</w:t>
      </w:r>
      <w:r>
        <w:t xml:space="preserve"> </w:t>
      </w:r>
      <w:r>
        <w:t xml:space="preserve">142 visits (15% YoY rise)</w:t>
      </w:r>
    </w:p>
    <w:p>
      <w:pPr>
        <w:numPr>
          <w:ilvl w:val="0"/>
          <w:numId w:val="1001"/>
        </w:numPr>
        <w:pStyle w:val="Compact"/>
      </w:pPr>
      <w:r>
        <w:rPr>
          <w:bCs/>
          <w:b/>
        </w:rPr>
        <w:t xml:space="preserve">Revenue per Case:</w:t>
      </w:r>
      <w:r>
        <w:t xml:space="preserve"> </w:t>
      </w:r>
      <w:r>
        <w:t xml:space="preserve">$630 average (including retainers and follow-ups)</w:t>
      </w:r>
    </w:p>
    <w:p>
      <w:pPr>
        <w:pStyle w:val="FirstParagraph"/>
      </w:pPr>
      <w:r>
        <w:t xml:space="preserve">The most popular services were traditional metal braces (58% of cases), followed by clear aligners (28%) and lingual options (14%). Notably, 63% of new patients were female aged 14-25 – reflecting a growing cultural shift toward cosmetic dentistry among Afghan women.</w:t>
      </w:r>
    </w:p>
    <w:bookmarkEnd w:id="21"/>
    <w:bookmarkStart w:id="22" w:name="Xb4dc115890ec5d203eb38e7e5e572066758250d"/>
    <w:p>
      <w:pPr>
        <w:pStyle w:val="Heading2"/>
      </w:pPr>
      <w:r>
        <w:t xml:space="preserve">III. Customer Demographics &amp; Feedback in Kabul</w:t>
      </w:r>
    </w:p>
    <w:p>
      <w:pPr>
        <w:pStyle w:val="FirstParagraph"/>
      </w:pPr>
      <w:r>
        <w:t xml:space="preserve">Our customer base reveals critical insights about orthodontic needs in Afghanistan's capital:</w:t>
      </w:r>
    </w:p>
    <w:p>
      <w:pPr>
        <w:numPr>
          <w:ilvl w:val="0"/>
          <w:numId w:val="1002"/>
        </w:numPr>
        <w:pStyle w:val="Compact"/>
      </w:pPr>
      <w:r>
        <w:rPr>
          <w:bCs/>
          <w:b/>
        </w:rPr>
        <w:t xml:space="preserve">Geographic Spread:</w:t>
      </w:r>
      <w:r>
        <w:t xml:space="preserve"> </w:t>
      </w:r>
      <w:r>
        <w:t xml:space="preserve">74% of patients from Kabul City, 18% from surrounding provinces (Logar, Parwan), 8% international expats</w:t>
      </w:r>
    </w:p>
    <w:p>
      <w:pPr>
        <w:numPr>
          <w:ilvl w:val="0"/>
          <w:numId w:val="1002"/>
        </w:numPr>
        <w:pStyle w:val="Compact"/>
      </w:pPr>
      <w:r>
        <w:rPr>
          <w:bCs/>
          <w:b/>
        </w:rPr>
        <w:t xml:space="preserve">Income Segmentation:</w:t>
      </w:r>
    </w:p>
    <w:p>
      <w:pPr>
        <w:numPr>
          <w:ilvl w:val="1"/>
          <w:numId w:val="1003"/>
        </w:numPr>
        <w:pStyle w:val="Compact"/>
      </w:pPr>
      <w:r>
        <w:t xml:space="preserve">Upper-Middle Class (25-35 yrs): 61% of total revenue</w:t>
      </w:r>
    </w:p>
    <w:p>
      <w:pPr>
        <w:numPr>
          <w:ilvl w:val="1"/>
          <w:numId w:val="1003"/>
        </w:numPr>
        <w:pStyle w:val="Compact"/>
      </w:pPr>
      <w:r>
        <w:t xml:space="preserve">Middle Class (20-45 yrs): 32% of new cases</w:t>
      </w:r>
    </w:p>
    <w:p>
      <w:pPr>
        <w:numPr>
          <w:ilvl w:val="1"/>
          <w:numId w:val="1003"/>
        </w:numPr>
        <w:pStyle w:val="Compact"/>
      </w:pPr>
      <w:r>
        <w:t xml:space="preserve">Low-Income Subsidy Program: 7% of cases (partnering with NGOs)</w:t>
      </w:r>
    </w:p>
    <w:p>
      <w:pPr>
        <w:numPr>
          <w:ilvl w:val="0"/>
          <w:numId w:val="1002"/>
        </w:numPr>
        <w:pStyle w:val="Compact"/>
      </w:pPr>
      <w:r>
        <w:rPr>
          <w:bCs/>
          <w:b/>
        </w:rPr>
        <w:t xml:space="preserve">Key Motivators:</w:t>
      </w:r>
      <w:r>
        <w:t xml:space="preserve"> </w:t>
      </w:r>
      <w:r>
        <w:t xml:space="preserve">Social acceptance (83%), improved self-esteem (76%), professional opportunities (42%)</w:t>
      </w:r>
    </w:p>
    <w:p>
      <w:pPr>
        <w:pStyle w:val="FirstParagraph"/>
      </w:pPr>
      <w:r>
        <w:t xml:space="preserve">Patient feedback highlighted unique cultural considerations: "I feel more confident during job interviews after treatment" (17-year-old student, Kabul), and "My parents now understand why orthodontics matters for my future" (mother of 15-year-old patient). However, 29% cited financial barriers – underscoring the need for flexible payment plans in Afghanistan's economic climate.</w:t>
      </w:r>
    </w:p>
    <w:bookmarkEnd w:id="22"/>
    <w:bookmarkStart w:id="23" w:name="iv.-market-challenges-specific-to-kabul"/>
    <w:p>
      <w:pPr>
        <w:pStyle w:val="Heading2"/>
      </w:pPr>
      <w:r>
        <w:t xml:space="preserve">IV. Market Challenges Specific to Kabul</w:t>
      </w:r>
    </w:p>
    <w:p>
      <w:pPr>
        <w:pStyle w:val="FirstParagraph"/>
      </w:pPr>
      <w:r>
        <w:t xml:space="preserve">Operating an orthodontic practice in Kabul presents distinct challenges absent from other markets:</w:t>
      </w:r>
    </w:p>
    <w:p>
      <w:pPr>
        <w:numPr>
          <w:ilvl w:val="0"/>
          <w:numId w:val="1004"/>
        </w:numPr>
        <w:pStyle w:val="Compact"/>
      </w:pPr>
      <w:r>
        <w:rPr>
          <w:bCs/>
          <w:b/>
        </w:rPr>
        <w:t xml:space="preserve">Supply Chain Limitations:</w:t>
      </w:r>
      <w:r>
        <w:t xml:space="preserve"> </w:t>
      </w:r>
      <w:r>
        <w:t xml:space="preserve">Import restrictions delayed clear aligner materials by 45 days during Q3, requiring alternative solutions for 12 patients.</w:t>
      </w:r>
    </w:p>
    <w:p>
      <w:pPr>
        <w:numPr>
          <w:ilvl w:val="0"/>
          <w:numId w:val="1004"/>
        </w:numPr>
        <w:pStyle w:val="Compact"/>
      </w:pPr>
      <w:r>
        <w:rPr>
          <w:bCs/>
          <w:b/>
        </w:rPr>
        <w:t xml:space="preserve">Seasonal Demand Fluctuations:</w:t>
      </w:r>
      <w:r>
        <w:t xml:space="preserve"> </w:t>
      </w:r>
      <w:r>
        <w:t xml:space="preserve">Ramadan reduced clinic visits by 22% (June-July), though demand rebounded strongly post-Eid.</w:t>
      </w:r>
    </w:p>
    <w:p>
      <w:pPr>
        <w:pStyle w:val="FirstParagraph"/>
      </w:pPr>
      <w:r>
        <w:t xml:space="preserve">Despite these challenges, our practice maintained 94% patient retention – significantly higher than Kabul's average for specialty dental clinics (78%).</w:t>
      </w:r>
    </w:p>
    <w:bookmarkEnd w:id="23"/>
    <w:bookmarkStart w:id="24" w:name="Xf2b267dcec00768a803f214302c4a6367cf9ca2"/>
    <w:p>
      <w:pPr>
        <w:pStyle w:val="Heading2"/>
      </w:pPr>
      <w:r>
        <w:t xml:space="preserve">V. Strategic Initiatives &amp; Marketing Effectiveness</w:t>
      </w:r>
    </w:p>
    <w:p>
      <w:pPr>
        <w:pStyle w:val="FirstParagraph"/>
      </w:pPr>
      <w:r>
        <w:t xml:space="preserve">Our Q3 marketing efforts yielded exceptional results in the Kabul context:</w:t>
      </w:r>
    </w:p>
    <w:p>
      <w:pPr>
        <w:numPr>
          <w:ilvl w:val="0"/>
          <w:numId w:val="1005"/>
        </w:numPr>
        <w:pStyle w:val="Compact"/>
      </w:pPr>
      <w:r>
        <w:rPr>
          <w:bCs/>
          <w:b/>
        </w:rPr>
        <w:t xml:space="preserve">Community Outreach:</w:t>
      </w:r>
      <w:r>
        <w:t xml:space="preserve"> </w:t>
      </w:r>
      <w:r>
        <w:t xml:space="preserve">Partnered with 12 schools in Kabul (including girls' schools) for free oral health workshops – generated 47% of new leads.</w:t>
      </w:r>
    </w:p>
    <w:p>
      <w:pPr>
        <w:numPr>
          <w:ilvl w:val="0"/>
          <w:numId w:val="1005"/>
        </w:numPr>
        <w:pStyle w:val="Compact"/>
      </w:pPr>
      <w:r>
        <w:rPr>
          <w:bCs/>
          <w:b/>
        </w:rPr>
        <w:t xml:space="preserve">Local Influencer Collaboration:</w:t>
      </w:r>
      <w:r>
        <w:t xml:space="preserve"> </w:t>
      </w:r>
      <w:r>
        <w:t xml:space="preserve">Engaged 3 popular Afghan social media figures (focused on women's empowerment) for educational content – increased online inquiries by 200%.</w:t>
      </w:r>
    </w:p>
    <w:p>
      <w:pPr>
        <w:numPr>
          <w:ilvl w:val="0"/>
          <w:numId w:val="1005"/>
        </w:numPr>
        <w:pStyle w:val="Compact"/>
      </w:pPr>
      <w:r>
        <w:rPr>
          <w:bCs/>
          <w:b/>
        </w:rPr>
        <w:t xml:space="preserve">Payment Plans:</w:t>
      </w:r>
      <w:r>
        <w:t xml:space="preserve"> </w:t>
      </w:r>
      <w:r>
        <w:t xml:space="preserve">Introduced "Eid Installment Program" (4 installments with zero interest) – secured 38 new cases during Ramadan period.</w:t>
      </w:r>
    </w:p>
    <w:p>
      <w:pPr>
        <w:pStyle w:val="FirstParagraph"/>
      </w:pPr>
      <w:r>
        <w:t xml:space="preserve">The community-focused approach resonated deeply in Kabul's tight-knit society. A survey showed 89% of new patients learned about our services through trusted local networks rather than digital channels.</w:t>
      </w:r>
    </w:p>
    <w:bookmarkEnd w:id="24"/>
    <w:bookmarkStart w:id="25" w:name="X8b139f1c0c7d9beab21cfc82790518212254da0"/>
    <w:p>
      <w:pPr>
        <w:pStyle w:val="Heading2"/>
      </w:pPr>
      <w:r>
        <w:t xml:space="preserve">VI. Future Growth Opportunities in Afghanistan</w:t>
      </w:r>
    </w:p>
    <w:p>
      <w:pPr>
        <w:pStyle w:val="FirstParagraph"/>
      </w:pPr>
      <w:r>
        <w:t xml:space="preserve">Based on Q3 data, we propose three targeted growth strategies for Kabul orthodontic services:</w:t>
      </w:r>
    </w:p>
    <w:p>
      <w:pPr>
        <w:numPr>
          <w:ilvl w:val="0"/>
          <w:numId w:val="1006"/>
        </w:numPr>
        <w:pStyle w:val="Compact"/>
      </w:pPr>
      <w:r>
        <w:rPr>
          <w:bCs/>
          <w:b/>
        </w:rPr>
        <w:t xml:space="preserve">Government Partnership Program:</w:t>
      </w:r>
      <w:r>
        <w:t xml:space="preserve"> </w:t>
      </w:r>
      <w:r>
        <w:t xml:space="preserve">Develop a subsidized orthodontic initiative for public school students (ages 10-18), targeting 500+ beneficiaries annually. This aligns with Afghanistan's National Health Strategy prioritizing youth dental care.</w:t>
      </w:r>
    </w:p>
    <w:p>
      <w:pPr>
        <w:numPr>
          <w:ilvl w:val="0"/>
          <w:numId w:val="1006"/>
        </w:numPr>
        <w:pStyle w:val="Compact"/>
      </w:pPr>
      <w:r>
        <w:rPr>
          <w:bCs/>
          <w:b/>
        </w:rPr>
        <w:t xml:space="preserve">Female-Centric Service Model:</w:t>
      </w:r>
      <w:r>
        <w:t xml:space="preserve"> </w:t>
      </w:r>
      <w:r>
        <w:t xml:space="preserve">Expand women-only treatment days and family packages to accommodate cultural preferences, estimated to capture an additional 25% of female patients.</w:t>
      </w:r>
    </w:p>
    <w:p>
      <w:pPr>
        <w:numPr>
          <w:ilvl w:val="0"/>
          <w:numId w:val="1006"/>
        </w:numPr>
        <w:pStyle w:val="Compact"/>
      </w:pPr>
      <w:r>
        <w:rPr>
          <w:bCs/>
          <w:b/>
        </w:rPr>
        <w:t xml:space="preserve">Digital Infrastructure Investment:</w:t>
      </w:r>
      <w:r>
        <w:t xml:space="preserve"> </w:t>
      </w:r>
      <w:r>
        <w:t xml:space="preserve">Launch a Kabul-specific telehealth platform for consultation follow-ups (addressing transportation challenges in conflict-affected areas).</w:t>
      </w:r>
    </w:p>
    <w:bookmarkEnd w:id="25"/>
    <w:bookmarkStart w:id="26" w:name="X48af0524590d67dea69643ae19297af7371a08b"/>
    <w:p>
      <w:pPr>
        <w:pStyle w:val="Heading2"/>
      </w:pPr>
      <w:r>
        <w:t xml:space="preserve">VII. Conclusion: Orthodontic Advancement in Kabul</w:t>
      </w:r>
    </w:p>
    <w:p>
      <w:pPr>
        <w:pStyle w:val="FirstParagraph"/>
      </w:pPr>
      <w:r>
        <w:t xml:space="preserve">The orthodontic market in Kabul demonstrates strong growth potential despite Afghanistan's complex environment. Our Q3 performance confirms rising demand for specialized dental care among urban Afghans, particularly among youth and women seeking improved social integration through cosmetic dentistry. The key to sustainable success lies in culturally informed service design – combining clinical excellence with deep community engagement.</w:t>
      </w:r>
    </w:p>
    <w:p>
      <w:pPr>
        <w:pStyle w:val="BodyText"/>
      </w:pPr>
      <w:r>
        <w:t xml:space="preserve">Crucially, this report underscores that orthodontic care is no longer viewed as a luxury but as essential healthcare in Kabul's evolving society. With strategic investments in local partnerships and flexible service models, our practice is positioned to become the leading orthodontic provider across Afghanistan. We recommend allocating 15% of Q4 revenue toward expanding community health programs, directly supporting our mission to make quality orthodontic care accessible for all Kabul residents.</w:t>
      </w:r>
    </w:p>
    <w:p>
      <w:pPr>
        <w:pStyle w:val="BodyText"/>
      </w:pPr>
      <w:r>
        <w:rPr>
          <w:bCs/>
          <w:b/>
        </w:rPr>
        <w:t xml:space="preserve">Prepared by:</w:t>
      </w:r>
      <w:r>
        <w:t xml:space="preserve"> </w:t>
      </w:r>
      <w:r>
        <w:t xml:space="preserve">International Dental Group - Kabul Orthodontics Division</w:t>
      </w:r>
      <w:r>
        <w:br/>
      </w:r>
      <w:r>
        <w:rPr>
          <w:bCs/>
          <w:b/>
        </w:rPr>
        <w:t xml:space="preserve">Confidentiality:</w:t>
      </w:r>
      <w:r>
        <w:t xml:space="preserve"> </w:t>
      </w:r>
      <w:r>
        <w:t xml:space="preserve">This report contains proprietary sales data exclusive to international dental providers operating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Kabul, Afghanistan</dc:title>
  <dc:creator/>
  <dc:language>en</dc:language>
  <cp:keywords/>
  <dcterms:created xsi:type="dcterms:W3CDTF">2026-07-23T16:23:32Z</dcterms:created>
  <dcterms:modified xsi:type="dcterms:W3CDTF">2026-07-23T16:23:32Z</dcterms:modified>
</cp:coreProperties>
</file>

<file path=docProps/custom.xml><?xml version="1.0" encoding="utf-8"?>
<Properties xmlns="http://schemas.openxmlformats.org/officeDocument/2006/custom-properties" xmlns:vt="http://schemas.openxmlformats.org/officeDocument/2006/docPropsVTypes"/>
</file>