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Report:</w:t>
      </w:r>
      <w:r>
        <w:t xml:space="preserve"> </w:t>
      </w:r>
      <w:r>
        <w:t xml:space="preserve">Buenos</w:t>
      </w:r>
      <w:r>
        <w:t xml:space="preserve"> </w:t>
      </w:r>
      <w:r>
        <w:t xml:space="preserve">Aires</w:t>
      </w:r>
      <w:r>
        <w:t xml:space="preserve"> </w:t>
      </w:r>
      <w:r>
        <w:t xml:space="preserve">Market</w:t>
      </w:r>
      <w:r>
        <w:t xml:space="preserve"> </w:t>
      </w:r>
      <w:r>
        <w:t xml:space="preserve">Analysis</w:t>
      </w:r>
    </w:p>
    <w:bookmarkStart w:id="27" w:name="Xbb87ebb00240893b065d98fca233acab1bf172e"/>
    <w:p>
      <w:pPr>
        <w:pStyle w:val="Heading1"/>
      </w:pPr>
      <w:r>
        <w:t xml:space="preserve">Comprehensive Sales Report: Orthodontic Practice Performance in Argentina Buenos Aires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Dental Sales Analytics Division</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performance of our orthodontic practice network across Argentina Buenos Aires during the third quarter of 2023. Despite economic volatility in Argentina, our clinics in Buenos Aires have demonstrated remarkable resilience, achieving a 15.7% year-over-year sales growth while maintaining industry-leading patient satisfaction scores (94.3%). The report analyzes market dynamics, service adoption patterns, and strategic opportunities specific to the Buenos Aires orthodontic landscape. Notably, demand for premium orthodontic solutions has surged in the city's affluent neighborhoods like Palermo and Belgrano, positioning our practice as a market leader in Argentina's most competitive dental hub.</w:t>
      </w:r>
    </w:p>
    <w:bookmarkEnd w:id="20"/>
    <w:bookmarkStart w:id="21" w:name="X81831cc1d384469c4283c258cfe13c873b8aaad"/>
    <w:p>
      <w:pPr>
        <w:pStyle w:val="Heading2"/>
      </w:pPr>
      <w:r>
        <w:t xml:space="preserve">II. Sales Performance Overview: Buenos Aires Market</w:t>
      </w:r>
    </w:p>
    <w:p>
      <w:pPr>
        <w:pStyle w:val="FirstParagraph"/>
      </w:pPr>
      <w:r>
        <w:t xml:space="preserve">Our Argentina Buenos Aires orthodontic clinics generated total revenue of $1.87 million USD during the reporting period – an 18% increase from Q3 2022. Key drivers include:</w:t>
      </w:r>
    </w:p>
    <w:p>
      <w:pPr>
        <w:numPr>
          <w:ilvl w:val="0"/>
          <w:numId w:val="1001"/>
        </w:numPr>
        <w:pStyle w:val="Compact"/>
      </w:pPr>
      <w:r>
        <w:rPr>
          <w:bCs/>
          <w:b/>
        </w:rPr>
        <w:t xml:space="preserve">Clear Aligner Adoption:</w:t>
      </w:r>
      <w:r>
        <w:t xml:space="preserve"> </w:t>
      </w:r>
      <w:r>
        <w:t xml:space="preserve">42% of new patients (vs. 28% in Q3 2022), driven by Buenos Aires' youth demographic and premium service demand</w:t>
      </w:r>
    </w:p>
    <w:p>
      <w:pPr>
        <w:numPr>
          <w:ilvl w:val="0"/>
          <w:numId w:val="1001"/>
        </w:numPr>
        <w:pStyle w:val="Compact"/>
      </w:pPr>
      <w:r>
        <w:rPr>
          <w:bCs/>
          <w:b/>
        </w:rPr>
        <w:t xml:space="preserve">Pediatric Orthodontics:</w:t>
      </w:r>
      <w:r>
        <w:t xml:space="preserve"> </w:t>
      </w:r>
      <w:r>
        <w:t xml:space="preserve">31% revenue growth from patients under age 14, reflecting early intervention trends in Argentine families</w:t>
      </w:r>
    </w:p>
    <w:p>
      <w:pPr>
        <w:numPr>
          <w:ilvl w:val="0"/>
          <w:numId w:val="1001"/>
        </w:numPr>
        <w:pStyle w:val="Compact"/>
      </w:pPr>
      <w:r>
        <w:rPr>
          <w:bCs/>
          <w:b/>
        </w:rPr>
        <w:t xml:space="preserve">Corporate Wellness Partnerships:</w:t>
      </w:r>
      <w:r>
        <w:t xml:space="preserve"> </w:t>
      </w:r>
      <w:r>
        <w:t xml:space="preserve">New contracts with major Buenos Aires employers (including Banco Macro and Mercado Libre) added $245,000 in recurring revenue</w:t>
      </w:r>
    </w:p>
    <w:p>
      <w:pPr>
        <w:pStyle w:val="FirstParagraph"/>
      </w:pPr>
      <w:r>
        <w:t xml:space="preserve">Notable market differentiators: Our practice's 91% patient retention rate in Argentina Buenos Aires outperforms the national average (78%), directly attributable to personalized service models tailored to local cultural preferences. The average treatment duration has decreased by 4.2 months through optimized scheduling, significantly improving cash flow for our Buenos Aires operations.</w:t>
      </w:r>
    </w:p>
    <w:bookmarkEnd w:id="21"/>
    <w:bookmarkStart w:id="22" w:name="X89106d96020fdf8ed6ce1e505f937c9c86fbc7c"/>
    <w:p>
      <w:pPr>
        <w:pStyle w:val="Heading2"/>
      </w:pPr>
      <w:r>
        <w:t xml:space="preserve">III. Market Analysis: Orthodontist Demand Drivers in Argentina</w:t>
      </w:r>
    </w:p>
    <w:p>
      <w:pPr>
        <w:pStyle w:val="FirstParagraph"/>
      </w:pPr>
      <w:r>
        <w:t xml:space="preserve">Buenos Aires represents Argentina's largest orthodontic market (37% of national revenue), with unique socioeconomic factors influencing purchasing behavior:</w:t>
      </w:r>
    </w:p>
    <w:p>
      <w:pPr>
        <w:numPr>
          <w:ilvl w:val="0"/>
          <w:numId w:val="1002"/>
        </w:numPr>
        <w:pStyle w:val="Compact"/>
      </w:pPr>
      <w:r>
        <w:rPr>
          <w:bCs/>
          <w:b/>
        </w:rPr>
        <w:t xml:space="preserve">Economic Factors:</w:t>
      </w:r>
      <w:r>
        <w:t xml:space="preserve"> </w:t>
      </w:r>
      <w:r>
        <w:t xml:space="preserve">Despite inflation nearing 150%, Buenos Aires residents prioritize aesthetic dental care. Our "pay-in-3-installments" model (featuring local Argentine credit card partnerships) increased conversion rates by 27%.</w:t>
      </w:r>
    </w:p>
    <w:p>
      <w:pPr>
        <w:numPr>
          <w:ilvl w:val="0"/>
          <w:numId w:val="1002"/>
        </w:numPr>
        <w:pStyle w:val="Compact"/>
      </w:pPr>
      <w:r>
        <w:rPr>
          <w:bCs/>
          <w:b/>
        </w:rPr>
        <w:t xml:space="preserve">Cultural Preferences:</w:t>
      </w:r>
      <w:r>
        <w:t xml:space="preserve"> </w:t>
      </w:r>
      <w:r>
        <w:t xml:space="preserve">The "Buenos Aires Chic" aesthetic trend drives demand for lingual braces and ceramic brackets – our most profitable service line (58% margin) in the city market.</w:t>
      </w:r>
    </w:p>
    <w:p>
      <w:pPr>
        <w:numPr>
          <w:ilvl w:val="0"/>
          <w:numId w:val="1002"/>
        </w:numPr>
        <w:pStyle w:val="Compact"/>
      </w:pPr>
      <w:r>
        <w:rPr>
          <w:bCs/>
          <w:b/>
        </w:rPr>
        <w:t xml:space="preserve">Demographic Shifts:</w:t>
      </w:r>
      <w:r>
        <w:t xml:space="preserve"> </w:t>
      </w:r>
      <w:r>
        <w:t xml:space="preserve">63% of new patients are aged 12-30, with social media influence (particularly Instagram) driving 47% of appointment requests. This contrasts with national averages where family referrals dominate.</w:t>
      </w:r>
    </w:p>
    <w:p>
      <w:pPr>
        <w:pStyle w:val="FirstParagraph"/>
      </w:pPr>
      <w:r>
        <w:t xml:space="preserve">Competitor analysis reveals a critical gap: While 85% of Buenos Aires orthodontists offer traditional braces, only 12% provide comprehensive digital smile design consultations – an opportunity we've capitalized on through our in-house iTero scanner system.</w:t>
      </w:r>
    </w:p>
    <w:bookmarkEnd w:id="22"/>
    <w:bookmarkStart w:id="23" w:name="iv.-service-specific-sales-breakdown"/>
    <w:p>
      <w:pPr>
        <w:pStyle w:val="Heading2"/>
      </w:pPr>
      <w:r>
        <w:t xml:space="preserve">IV. Service-Specific Sales Breakdown</w:t>
      </w:r>
    </w:p>
    <w:p>
      <w:pPr>
        <w:pStyle w:val="FirstParagraph"/>
      </w:pPr>
      <w:r>
        <w:t xml:space="preserve">Service Category</w:t>
      </w:r>
    </w:p>
    <w:p>
      <w:pPr>
        <w:pStyle w:val="BodyText"/>
      </w:pPr>
      <w:r>
        <w:t xml:space="preserve">Revenue (USD)</w:t>
      </w:r>
    </w:p>
    <w:p>
      <w:pPr>
        <w:pStyle w:val="BodyText"/>
      </w:pPr>
      <w:r>
        <w:t xml:space="preserve">% of Total</w:t>
      </w:r>
    </w:p>
    <w:p>
      <w:pPr>
        <w:pStyle w:val="BodyText"/>
      </w:pPr>
      <w:r>
        <w:t xml:space="preserve">Growth vs. 2022</w:t>
      </w:r>
    </w:p>
    <w:p>
      <w:pPr>
        <w:pStyle w:val="BodyText"/>
      </w:pPr>
      <w:r>
        <w:t xml:space="preserve">Traditional Braces (Metal/Ceramic)</w:t>
      </w:r>
    </w:p>
    <w:p>
      <w:pPr>
        <w:pStyle w:val="BodyText"/>
      </w:pPr>
      <w:r>
        <w:t xml:space="preserve">$715,000</w:t>
      </w:r>
    </w:p>
    <w:p>
      <w:pPr>
        <w:pStyle w:val="BodyText"/>
      </w:pPr>
      <w:r>
        <w:t xml:space="preserve">38.2%</w:t>
      </w:r>
    </w:p>
    <w:p>
      <w:pPr>
        <w:pStyle w:val="BodyText"/>
      </w:pPr>
      <w:r>
        <w:t xml:space="preserve">+5.1%</w:t>
      </w:r>
    </w:p>
    <w:p>
      <w:pPr>
        <w:pStyle w:val="BodyText"/>
      </w:pPr>
      <w:r>
        <w:t xml:space="preserve">Clear Aligners (Invisalign &amp; Alternatives)</w:t>
      </w:r>
    </w:p>
    <w:p>
      <w:pPr>
        <w:pStyle w:val="BodyText"/>
      </w:pPr>
      <w:r>
        <w:t xml:space="preserve">$629,000</w:t>
      </w:r>
    </w:p>
    <w:p>
      <w:pPr>
        <w:pStyle w:val="BodyText"/>
      </w:pPr>
      <w:r>
        <w:t xml:space="preserve">33.6%</w:t>
      </w:r>
    </w:p>
    <w:p>
      <w:pPr>
        <w:pStyle w:val="BodyText"/>
      </w:pPr>
      <w:r>
        <w:t xml:space="preserve">+48.7%</w:t>
      </w:r>
    </w:p>
    <w:p>
      <w:pPr>
        <w:pStyle w:val="BodyText"/>
      </w:pPr>
      <w:r>
        <w:t xml:space="preserve">Pediatric Early Intervention</w:t>
      </w:r>
    </w:p>
    <w:p>
      <w:pPr>
        <w:pStyle w:val="BodyText"/>
      </w:pPr>
      <w:r>
        <w:t xml:space="preserve">$248,000</w:t>
      </w:r>
    </w:p>
    <w:p>
      <w:pPr>
        <w:pStyle w:val="BodyText"/>
      </w:pPr>
      <w:r>
        <w:t xml:space="preserve">13.2%</w:t>
      </w:r>
    </w:p>
    <w:p>
      <w:pPr>
        <w:pStyle w:val="BodyText"/>
      </w:pPr>
      <w:r>
        <w:t xml:space="preserve">+31.5%</w:t>
      </w:r>
    </w:p>
    <w:p>
      <w:pPr>
        <w:pStyle w:val="BodyText"/>
      </w:pPr>
      <w:r>
        <w:t xml:space="preserve">Total Orthodontic Services</w:t>
      </w:r>
    </w:p>
    <w:p>
      <w:pPr>
        <w:pStyle w:val="BodyText"/>
      </w:pPr>
      <w:r>
        <w:t xml:space="preserve">$1,875,000</w:t>
      </w:r>
    </w:p>
    <w:p>
      <w:pPr>
        <w:pStyle w:val="BodyText"/>
      </w:pPr>
      <w:r>
        <w:t xml:space="preserve">100%</w:t>
      </w:r>
    </w:p>
    <w:p>
      <w:pPr>
        <w:pStyle w:val="BodyText"/>
      </w:pPr>
      <w:r>
        <w:t xml:space="preserve">&lt; th&gt;+15.7%</w:t>
      </w:r>
    </w:p>
    <w:p>
      <w:pPr>
        <w:pStyle w:val="BodyText"/>
      </w:pPr>
      <w:r>
        <w:t xml:space="preserve">Key insight: Clear aligners' explosive growth (driven by Argentine teens seeking "invisible" solutions for social media culture) has made them our fastest-growing segment. This directly addresses a critical gap in the Argentina Buenos Aires market, where 68% of parents previously avoided orthodontics due to aesthetic concerns.</w:t>
      </w:r>
    </w:p>
    <w:bookmarkEnd w:id="23"/>
    <w:bookmarkStart w:id="24" w:name="Xc11fc522a60000ffa19128f96b65ec4c68fc09e"/>
    <w:p>
      <w:pPr>
        <w:pStyle w:val="Heading2"/>
      </w:pPr>
      <w:r>
        <w:t xml:space="preserve">V. Customer Insights: Buenos Aires Patient Profile</w:t>
      </w:r>
    </w:p>
    <w:p>
      <w:pPr>
        <w:pStyle w:val="FirstParagraph"/>
      </w:pPr>
      <w:r>
        <w:t xml:space="preserve">Our patient analytics reveal distinct patterns in Argentina Buenos Aires:</w:t>
      </w:r>
    </w:p>
    <w:p>
      <w:pPr>
        <w:numPr>
          <w:ilvl w:val="0"/>
          <w:numId w:val="1003"/>
        </w:numPr>
        <w:pStyle w:val="Compact"/>
      </w:pPr>
      <w:r>
        <w:rPr>
          <w:bCs/>
          <w:b/>
        </w:rPr>
        <w:t xml:space="preserve">Geographic Concentration:</w:t>
      </w:r>
      <w:r>
        <w:t xml:space="preserve"> </w:t>
      </w:r>
      <w:r>
        <w:t xml:space="preserve">73% of patients reside in the city proper (vs. suburbs), with highest density in Palermo, Recoleta, and Puerto Madero – neighborhoods where orthodontic services command premium pricing (22% higher than national average).</w:t>
      </w:r>
    </w:p>
    <w:p>
      <w:pPr>
        <w:numPr>
          <w:ilvl w:val="0"/>
          <w:numId w:val="1003"/>
        </w:numPr>
        <w:pStyle w:val="Compact"/>
      </w:pPr>
      <w:r>
        <w:rPr>
          <w:bCs/>
          <w:b/>
        </w:rPr>
        <w:t xml:space="preserve">Purchase Drivers:</w:t>
      </w:r>
      <w:r>
        <w:t xml:space="preserve"> </w:t>
      </w:r>
      <w:r>
        <w:t xml:space="preserve">"Family recommendation" (41%), "Instagram influencer testimonials" (33%), and "insurance coverage through employer plans" (26%) are primary acquisition channels.</w:t>
      </w:r>
    </w:p>
    <w:p>
      <w:pPr>
        <w:numPr>
          <w:ilvl w:val="0"/>
          <w:numId w:val="1003"/>
        </w:numPr>
        <w:pStyle w:val="Compact"/>
      </w:pPr>
      <w:r>
        <w:rPr>
          <w:bCs/>
          <w:b/>
        </w:rPr>
        <w:t xml:space="preserve">Price Sensitivity:</w:t>
      </w:r>
      <w:r>
        <w:t xml:space="preserve"> </w:t>
      </w:r>
      <w:r>
        <w:t xml:space="preserve">Despite economic pressures, 59% of Buenos Aires patients opt for premium services when offered financing – a trend unique to our city compared to provincial Argentina.</w:t>
      </w:r>
    </w:p>
    <w:bookmarkEnd w:id="24"/>
    <w:bookmarkStart w:id="25" w:name="X06ce3d7e6ae05a15e65e75776471c1167edf276"/>
    <w:p>
      <w:pPr>
        <w:pStyle w:val="Heading2"/>
      </w:pPr>
      <w:r>
        <w:t xml:space="preserve">VI. Strategic Recommendations for Argentina Buenos Aires</w:t>
      </w:r>
    </w:p>
    <w:p>
      <w:pPr>
        <w:pStyle w:val="FirstParagraph"/>
      </w:pPr>
      <w:r>
        <w:t xml:space="preserve">To sustain growth in this competitive market, we recommend:</w:t>
      </w:r>
    </w:p>
    <w:p>
      <w:pPr>
        <w:numPr>
          <w:ilvl w:val="0"/>
          <w:numId w:val="1004"/>
        </w:numPr>
        <w:pStyle w:val="Compact"/>
      </w:pPr>
      <w:r>
        <w:rPr>
          <w:bCs/>
          <w:b/>
        </w:rPr>
        <w:t xml:space="preserve">Expand Digital Marketing in Buenos Aires:</w:t>
      </w:r>
      <w:r>
        <w:t xml:space="preserve"> </w:t>
      </w:r>
      <w:r>
        <w:t xml:space="preserve">Allocate 30% of marketing budget to geo-targeted Instagram campaigns focusing on "Buenos Aires teen aesthetics" (projected $120k incremental revenue).</w:t>
      </w:r>
    </w:p>
    <w:p>
      <w:pPr>
        <w:numPr>
          <w:ilvl w:val="0"/>
          <w:numId w:val="1004"/>
        </w:numPr>
        <w:pStyle w:val="Compact"/>
      </w:pPr>
      <w:r>
        <w:rPr>
          <w:bCs/>
          <w:b/>
        </w:rPr>
        <w:t xml:space="preserve">Launch Corporate Orthodontic Programs:</w:t>
      </w:r>
      <w:r>
        <w:t xml:space="preserve"> </w:t>
      </w:r>
      <w:r>
        <w:t xml:space="preserve">Target 15 additional major employers in Buenos Aires for group dental plans by Q2 2024, leveraging existing contracts with local businesses.</w:t>
      </w:r>
    </w:p>
    <w:p>
      <w:pPr>
        <w:numPr>
          <w:ilvl w:val="0"/>
          <w:numId w:val="1004"/>
        </w:numPr>
        <w:pStyle w:val="Compact"/>
      </w:pPr>
      <w:r>
        <w:rPr>
          <w:bCs/>
          <w:b/>
        </w:rPr>
        <w:t xml:space="preserve">Introduce "Buenos Aires Premium" Package:</w:t>
      </w:r>
      <w:r>
        <w:t xml:space="preserve"> </w:t>
      </w:r>
      <w:r>
        <w:t xml:space="preserve">Bundle clear aligners with cosmetic dentistry services (e.g., veneers) to increase average transaction value by $350 (based on market testing).</w:t>
      </w:r>
    </w:p>
    <w:p>
      <w:pPr>
        <w:numPr>
          <w:ilvl w:val="0"/>
          <w:numId w:val="1004"/>
        </w:numPr>
        <w:pStyle w:val="Compact"/>
      </w:pPr>
      <w:r>
        <w:rPr>
          <w:bCs/>
          <w:b/>
        </w:rPr>
        <w:t xml:space="preserve">Localized Financing Partnerships:</w:t>
      </w:r>
      <w:r>
        <w:t xml:space="preserve"> </w:t>
      </w:r>
      <w:r>
        <w:t xml:space="preserve">Forge new agreements with Banco Galicia and Santander Argentina to offer 0% interest installments for orthodontics, addressing Argentina's cash flow constraints.</w:t>
      </w:r>
    </w:p>
    <w:bookmarkEnd w:id="25"/>
    <w:bookmarkStart w:id="26" w:name="vii.-conclusion"/>
    <w:p>
      <w:pPr>
        <w:pStyle w:val="Heading2"/>
      </w:pPr>
      <w:r>
        <w:t xml:space="preserve">VII. Conclusion</w:t>
      </w:r>
    </w:p>
    <w:p>
      <w:pPr>
        <w:pStyle w:val="FirstParagraph"/>
      </w:pPr>
      <w:r>
        <w:t xml:space="preserve">The Sales Report confirms Buenos Aires remains the cornerstone of our orthodontic growth strategy in Argentina. With strategic execution of the above recommendations, we project 20% revenue growth for our Argentina Buenos Aires practice in 2024. The market's strong demand for aesthetic solutions, combined with our localized service model and financial flexibility, positions us to capture additional market share from competitors who remain focused on traditional brace-only offerings.</w:t>
      </w:r>
    </w:p>
    <w:p>
      <w:pPr>
        <w:pStyle w:val="BodyText"/>
      </w:pPr>
      <w:r>
        <w:t xml:space="preserve">Crucially, our focus on cultural relevance – understanding that a Buenos Aires orthodontist must balance cutting-edge technology with the city's passion for style and social connection – has been the catalyst for success. As Argentina continues its economic evolution, our practice's ability to adapt orthodontic sales strategies to Buenos Aires' unique socioeconomic landscape will determine sustained leadership in this vital market.</w:t>
      </w:r>
    </w:p>
    <w:p>
      <w:pPr>
        <w:pStyle w:val="BodyText"/>
      </w:pPr>
      <w:r>
        <w:rPr>
          <w:bCs/>
          <w:b/>
        </w:rPr>
        <w:t xml:space="preserve">Appendix:</w:t>
      </w:r>
      <w:r>
        <w:t xml:space="preserve"> </w:t>
      </w:r>
      <w:r>
        <w:t xml:space="preserve">All data reflects Q3 2023 performance across 14 orthodontic clinics throughout Argentina Buenos Aires. Market statistics sourced from Cámara Argentina de Odontología and Banco Central de la República Argentina economic 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Report: Buenos Aires Market Analysis</dc:title>
  <dc:creator/>
  <dc:language>en</dc:language>
  <cp:keywords/>
  <dcterms:created xsi:type="dcterms:W3CDTF">2026-07-24T00:26:07Z</dcterms:created>
  <dcterms:modified xsi:type="dcterms:W3CDTF">2026-07-24T00:26:07Z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