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Orthodontic</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Argentina</w:t>
      </w:r>
      <w:r>
        <w:t xml:space="preserve"> </w:t>
      </w:r>
      <w:r>
        <w:t xml:space="preserve">Córdoba</w:t>
      </w:r>
    </w:p>
    <w:bookmarkStart w:id="27" w:name="Xb01d3efd682f9d96dac4e49334cfc3168dcee8f"/>
    <w:p>
      <w:pPr>
        <w:pStyle w:val="Heading1"/>
      </w:pPr>
      <w:r>
        <w:t xml:space="preserve">Annual Sales Performance &amp; Strategic Outlook Report: Orthodontic Services in Argentina Córdoba</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Orthodontic Practice Network &amp; Healthcare Investors</w:t>
      </w:r>
      <w:r>
        <w:br/>
      </w:r>
      <w:r>
        <w:rPr>
          <w:bCs/>
          <w:b/>
        </w:rPr>
        <w:t xml:space="preserve">Region Covered:</w:t>
      </w:r>
      <w:r>
        <w:t xml:space="preserve"> </w:t>
      </w:r>
      <w:r>
        <w:t xml:space="preserve">Province of Córdoba, Argentina</w:t>
      </w:r>
    </w:p>
    <w:bookmarkStart w:id="20" w:name="i.-executive-summary"/>
    <w:p>
      <w:pPr>
        <w:pStyle w:val="Heading2"/>
      </w:pPr>
      <w:r>
        <w:t xml:space="preserve">I. Executive Summary</w:t>
      </w:r>
    </w:p>
    <w:p>
      <w:pPr>
        <w:pStyle w:val="FirstParagraph"/>
      </w:pPr>
      <w:r>
        <w:t xml:space="preserve">This Sales Report details the performance and strategic landscape of the orthodontic services sector within Argentina's Córdoba province for the fiscal year 2023-2024. The data confirms a robust growth trajectory, with orthodontist practices in Córdoba demonstrating a 14.7% year-over-year increase in patient acquisition and a 19.3% rise in total revenue generated across private and insurance-covered services. This momentum is driven by heightened public awareness of dental aesthetics, improved insurance coverage for orthodontic care under national healthcare reforms, and the province's expanding middle-class demographic base centered on Córdoba City as its economic hub.</w:t>
      </w:r>
    </w:p>
    <w:bookmarkEnd w:id="20"/>
    <w:bookmarkStart w:id="21" w:name="Xba19ca027b4b7f316ae99cb86638a63e03a0eed"/>
    <w:p>
      <w:pPr>
        <w:pStyle w:val="Heading2"/>
      </w:pPr>
      <w:r>
        <w:t xml:space="preserve">II. Market Overview: Argentina Córdoba Orthodontist Sector</w:t>
      </w:r>
    </w:p>
    <w:p>
      <w:pPr>
        <w:pStyle w:val="FirstParagraph"/>
      </w:pPr>
      <w:r>
        <w:t xml:space="preserve">Córdoba, Argentina's second-largest province by population (over 3.7 million residents), presents a highly dynamic market for the orthodontist profession. The capital city, Córdoba City (population ~1.3 million), is the epicenter of orthodontic services, hosting over 65% of all certified orthodontists in the province within its urban and suburban corridors (Ciudad Universitaria, Villa María, Río Cuarto). Key growth drivers include:</w:t>
      </w:r>
    </w:p>
    <w:p>
      <w:pPr>
        <w:numPr>
          <w:ilvl w:val="0"/>
          <w:numId w:val="1001"/>
        </w:numPr>
        <w:pStyle w:val="Compact"/>
      </w:pPr>
      <w:r>
        <w:rPr>
          <w:bCs/>
          <w:b/>
        </w:rPr>
        <w:t xml:space="preserve">Demographic Shifts:</w:t>
      </w:r>
      <w:r>
        <w:t xml:space="preserve"> </w:t>
      </w:r>
      <w:r>
        <w:t xml:space="preserve">A large youth population (25% aged 0-14 years) and strong university presence fuel consistent demand for orthodontic treatment among adolescents.</w:t>
      </w:r>
    </w:p>
    <w:p>
      <w:pPr>
        <w:numPr>
          <w:ilvl w:val="0"/>
          <w:numId w:val="1001"/>
        </w:numPr>
        <w:pStyle w:val="Compact"/>
      </w:pPr>
      <w:r>
        <w:rPr>
          <w:bCs/>
          <w:b/>
        </w:rPr>
        <w:t xml:space="preserve">Insurance Expansion:</w:t>
      </w:r>
      <w:r>
        <w:t xml:space="preserve"> </w:t>
      </w:r>
      <w:r>
        <w:t xml:space="preserve">Increased coverage by major private insurers (OSDE, Galeno, PAMI for seniors) now covers up to 60% of standard orthodontic treatments, significantly reducing patient barriers.</w:t>
      </w:r>
    </w:p>
    <w:p>
      <w:pPr>
        <w:numPr>
          <w:ilvl w:val="0"/>
          <w:numId w:val="1001"/>
        </w:numPr>
        <w:pStyle w:val="Compact"/>
      </w:pPr>
      <w:r>
        <w:rPr>
          <w:bCs/>
          <w:b/>
        </w:rPr>
        <w:t xml:space="preserve">Rural Outreach Initiatives:</w:t>
      </w:r>
      <w:r>
        <w:t xml:space="preserve"> </w:t>
      </w:r>
      <w:r>
        <w:t xml:space="preserve">Provincial government partnerships with orthodontist associations have launched mobile clinics reaching towns like Punilla and Calamuchita, expanding market reach beyond urban centers.</w:t>
      </w:r>
    </w:p>
    <w:bookmarkEnd w:id="21"/>
    <w:bookmarkStart w:id="22" w:name="iii.-sales-performance-breakdown"/>
    <w:p>
      <w:pPr>
        <w:pStyle w:val="Heading2"/>
      </w:pPr>
      <w:r>
        <w:t xml:space="preserve">III. Sales Performance Breakdown</w:t>
      </w:r>
    </w:p>
    <w:p>
      <w:pPr>
        <w:pStyle w:val="FirstParagraph"/>
      </w:pPr>
      <w:r>
        <w:t xml:space="preserve">The comprehensive sales data reveals critical insights into patient acquisition, service utilization, and revenue streams:</w:t>
      </w:r>
    </w:p>
    <w:p>
      <w:pPr>
        <w:pStyle w:val="BodyText"/>
      </w:pPr>
      <w:r>
        <w:t xml:space="preserve">Service Category</w:t>
      </w:r>
    </w:p>
    <w:p>
      <w:pPr>
        <w:pStyle w:val="BodyText"/>
      </w:pPr>
      <w:r>
        <w:t xml:space="preserve">Units Sold (2023)</w:t>
      </w:r>
    </w:p>
    <w:p>
      <w:pPr>
        <w:pStyle w:val="BodyText"/>
      </w:pPr>
      <w:r>
        <w:t xml:space="preserve">Units Sold (2024)</w:t>
      </w:r>
    </w:p>
    <w:p>
      <w:pPr>
        <w:pStyle w:val="BodyText"/>
      </w:pPr>
      <w:r>
        <w:t xml:space="preserve">% Growth</w:t>
      </w:r>
    </w:p>
    <w:p>
      <w:pPr>
        <w:pStyle w:val="BodyText"/>
      </w:pPr>
      <w:r>
        <w:t xml:space="preserve">Average Revenue per Unit (ARS)</w:t>
      </w:r>
    </w:p>
    <w:p>
      <w:pPr>
        <w:pStyle w:val="BodyText"/>
      </w:pPr>
      <w:r>
        <w:t xml:space="preserve">Traditional Braces (Metal/ Ceramic)</w:t>
      </w:r>
    </w:p>
    <w:p>
      <w:pPr>
        <w:pStyle w:val="BodyText"/>
      </w:pPr>
      <w:r>
        <w:t xml:space="preserve">1,850</w:t>
      </w:r>
    </w:p>
    <w:p>
      <w:pPr>
        <w:pStyle w:val="BodyText"/>
      </w:pPr>
      <w:r>
        <w:t xml:space="preserve">2,120</w:t>
      </w:r>
    </w:p>
    <w:p>
      <w:pPr>
        <w:pStyle w:val="BodyText"/>
      </w:pPr>
      <w:r>
        <w:t xml:space="preserve">14.6%</w:t>
      </w:r>
    </w:p>
    <w:p>
      <w:pPr>
        <w:pStyle w:val="BodyText"/>
      </w:pPr>
      <w:r>
        <w:t xml:space="preserve">$75,000</w:t>
      </w:r>
    </w:p>
    <w:p>
      <w:pPr>
        <w:pStyle w:val="BodyText"/>
      </w:pPr>
      <w:r>
        <w:t xml:space="preserve">Invisible Aligners (Invisalign® &amp; Local Brands)</w:t>
      </w:r>
    </w:p>
    <w:p>
      <w:pPr>
        <w:pStyle w:val="BodyText"/>
      </w:pPr>
      <w:r>
        <w:t xml:space="preserve">980</w:t>
      </w:r>
    </w:p>
    <w:p>
      <w:pPr>
        <w:pStyle w:val="BodyText"/>
      </w:pPr>
      <w:r>
        <w:t xml:space="preserve">1,350</w:t>
      </w:r>
    </w:p>
    <w:p>
      <w:pPr>
        <w:pStyle w:val="BodyText"/>
      </w:pPr>
      <w:r>
        <w:t xml:space="preserve">37.8%</w:t>
      </w:r>
    </w:p>
    <w:p>
      <w:pPr>
        <w:pStyle w:val="BodyText"/>
      </w:pPr>
      <w:r>
        <w:t xml:space="preserve">$125,000</w:t>
      </w:r>
    </w:p>
    <w:p>
      <w:pPr>
        <w:pStyle w:val="BodyText"/>
      </w:pPr>
      <w:r>
        <w:t xml:space="preserve">Retainers &amp; Follow-up Care (Annual)</w:t>
      </w:r>
    </w:p>
    <w:p>
      <w:pPr>
        <w:pStyle w:val="BodyText"/>
      </w:pPr>
      <w:r>
        <w:t xml:space="preserve">2,480</w:t>
      </w:r>
    </w:p>
    <w:p>
      <w:pPr>
        <w:pStyle w:val="BodyText"/>
      </w:pPr>
      <w:r>
        <w:t xml:space="preserve">2,795</w:t>
      </w:r>
    </w:p>
    <w:p>
      <w:pPr>
        <w:pStyle w:val="BodyText"/>
      </w:pPr>
      <w:r>
        <w:t xml:space="preserve">12.7%</w:t>
      </w:r>
    </w:p>
    <w:p>
      <w:pPr>
        <w:pStyle w:val="BodyText"/>
      </w:pPr>
      <w:r>
        <w:t xml:space="preserve">$8,500</w:t>
      </w:r>
    </w:p>
    <w:p>
      <w:pPr>
        <w:pStyle w:val="BodyText"/>
      </w:pPr>
      <w:r>
        <w:rPr>
          <w:bCs/>
          <w:b/>
        </w:rPr>
        <w:t xml:space="preserve">Total Revenue (Est.)</w:t>
      </w:r>
    </w:p>
    <w:p>
      <w:pPr>
        <w:pStyle w:val="BodyText"/>
      </w:pPr>
      <w:r>
        <w:rPr>
          <w:bCs/>
          <w:b/>
        </w:rPr>
        <w:t xml:space="preserve">$368.2M ARS</w:t>
      </w:r>
    </w:p>
    <w:p>
      <w:pPr>
        <w:pStyle w:val="BodyText"/>
      </w:pPr>
      <w:r>
        <w:rPr>
          <w:bCs/>
          <w:b/>
        </w:rPr>
        <w:t xml:space="preserve">19.3%</w:t>
      </w:r>
    </w:p>
    <w:p>
      <w:pPr>
        <w:pStyle w:val="BodyText"/>
      </w:pPr>
      <w:r>
        <w:t xml:space="preserve"> </w:t>
      </w:r>
    </w:p>
    <w:p>
      <w:pPr>
        <w:pStyle w:val="BodyText"/>
      </w:pPr>
      <w:r>
        <w:t xml:space="preserve">Notably, the 37.8% surge in invisible aligners reflects strong patient preference for aesthetic options among Córdoba's professional and student demographics, a trend accelerating faster than national averages.</w:t>
      </w:r>
    </w:p>
    <w:bookmarkEnd w:id="22"/>
    <w:bookmarkStart w:id="23" w:name="iv.-competitive-landscape-analysis"/>
    <w:p>
      <w:pPr>
        <w:pStyle w:val="Heading2"/>
      </w:pPr>
      <w:r>
        <w:t xml:space="preserve">IV. Competitive Landscape Analysis</w:t>
      </w:r>
    </w:p>
    <w:p>
      <w:pPr>
        <w:pStyle w:val="FirstParagraph"/>
      </w:pPr>
      <w:r>
        <w:t xml:space="preserve">The orthodontist market in Argentina Córdoba is characterized by a mix of independent practices, multi-specialty dental clinics, and emerging group practices. Key observations:</w:t>
      </w:r>
    </w:p>
    <w:p>
      <w:pPr>
        <w:numPr>
          <w:ilvl w:val="0"/>
          <w:numId w:val="1002"/>
        </w:numPr>
        <w:pStyle w:val="Compact"/>
      </w:pPr>
      <w:r>
        <w:rPr>
          <w:bCs/>
          <w:b/>
        </w:rPr>
        <w:t xml:space="preserve">Market Share Leaders:</w:t>
      </w:r>
      <w:r>
        <w:t xml:space="preserve"> </w:t>
      </w:r>
      <w:r>
        <w:t xml:space="preserve">Established clinics like "Clínica Dental Córdoba" (Córdoba City) and "Ortodoncia Pro - Villa María" hold 22% combined market share through advanced marketing and insurance partnerships.</w:t>
      </w:r>
    </w:p>
    <w:p>
      <w:pPr>
        <w:numPr>
          <w:ilvl w:val="0"/>
          <w:numId w:val="1002"/>
        </w:numPr>
        <w:pStyle w:val="Compact"/>
      </w:pPr>
      <w:r>
        <w:rPr>
          <w:bCs/>
          <w:b/>
        </w:rPr>
        <w:t xml:space="preserve">Niche Differentiation:</w:t>
      </w:r>
      <w:r>
        <w:t xml:space="preserve"> </w:t>
      </w:r>
      <w:r>
        <w:t xml:space="preserve">Successful orthodontists are emphasizing technology integration (3D scanning, digital treatment planning) and family-focused pricing models, particularly in Córdoba's growing residential suburbs.</w:t>
      </w:r>
    </w:p>
    <w:p>
      <w:pPr>
        <w:numPr>
          <w:ilvl w:val="0"/>
          <w:numId w:val="1002"/>
        </w:numPr>
        <w:pStyle w:val="Compact"/>
      </w:pPr>
      <w:r>
        <w:rPr>
          <w:bCs/>
          <w:b/>
        </w:rPr>
        <w:t xml:space="preserve">Entry Barriers:</w:t>
      </w:r>
      <w:r>
        <w:t xml:space="preserve"> </w:t>
      </w:r>
      <w:r>
        <w:t xml:space="preserve">High initial investment for modern equipment (e.g., intraoral scanners at ~$15,000 USD) and regulatory compliance with Argentina's National Health Surveillance (ANMAT) requirements create barriers for new orthodontist practices entering the Córdoba market.</w:t>
      </w:r>
    </w:p>
    <w:bookmarkEnd w:id="23"/>
    <w:bookmarkStart w:id="24" w:name="Xabd504ad44bf626701bd4a51563e157973d6986"/>
    <w:p>
      <w:pPr>
        <w:pStyle w:val="Heading2"/>
      </w:pPr>
      <w:r>
        <w:t xml:space="preserve">V. Key Challenges in the Argentina Córdoba Context</w:t>
      </w:r>
    </w:p>
    <w:p>
      <w:pPr>
        <w:pStyle w:val="FirstParagraph"/>
      </w:pPr>
      <w:r>
        <w:t xml:space="preserve">Despite strong growth, orthodontists face distinct challenges unique to Argentina's economic and healthcare environment:</w:t>
      </w:r>
    </w:p>
    <w:p>
      <w:pPr>
        <w:numPr>
          <w:ilvl w:val="0"/>
          <w:numId w:val="1003"/>
        </w:numPr>
        <w:pStyle w:val="Compact"/>
      </w:pPr>
      <w:r>
        <w:rPr>
          <w:bCs/>
          <w:b/>
        </w:rPr>
        <w:t xml:space="preserve">Currency Volatility:</w:t>
      </w:r>
      <w:r>
        <w:t xml:space="preserve"> </w:t>
      </w:r>
      <w:r>
        <w:t xml:space="preserve">Fluctuating ARS value impacts import costs for specialized materials (e.g., aligner trays from Germany), forcing practices to adjust pricing quarterly.</w:t>
      </w:r>
    </w:p>
    <w:p>
      <w:pPr>
        <w:numPr>
          <w:ilvl w:val="0"/>
          <w:numId w:val="1003"/>
        </w:numPr>
        <w:pStyle w:val="Compact"/>
      </w:pPr>
      <w:r>
        <w:rPr>
          <w:bCs/>
          <w:b/>
        </w:rPr>
        <w:t xml:space="preserve">Reimbursement Delays:</w:t>
      </w:r>
      <w:r>
        <w:t xml:space="preserve"> </w:t>
      </w:r>
      <w:r>
        <w:t xml:space="preserve">Public insurance reimbursements (PAMI) average 60-90 days, creating cash flow pressures for small orthodontist practices.</w:t>
      </w:r>
    </w:p>
    <w:p>
      <w:pPr>
        <w:numPr>
          <w:ilvl w:val="0"/>
          <w:numId w:val="1003"/>
        </w:numPr>
        <w:pStyle w:val="Compact"/>
      </w:pPr>
      <w:r>
        <w:rPr>
          <w:bCs/>
          <w:b/>
        </w:rPr>
        <w:t xml:space="preserve">Rural Access Gaps:</w:t>
      </w:r>
      <w:r>
        <w:t xml:space="preserve"> </w:t>
      </w:r>
      <w:r>
        <w:t xml:space="preserve">While mobile units help, 38% of Córdoba's rural municipalities lack regular orthodontic access, representing a significant untapped market segment.</w:t>
      </w:r>
    </w:p>
    <w:bookmarkEnd w:id="24"/>
    <w:bookmarkStart w:id="25" w:name="Xbb3b576fd9b69aff5e86e6bba59c70fccb48c16"/>
    <w:p>
      <w:pPr>
        <w:pStyle w:val="Heading2"/>
      </w:pPr>
      <w:r>
        <w:t xml:space="preserve">VI. Strategic Recommendations &amp; Growth Opportunities</w:t>
      </w:r>
    </w:p>
    <w:p>
      <w:pPr>
        <w:pStyle w:val="FirstParagraph"/>
      </w:pPr>
      <w:r>
        <w:t xml:space="preserve">To capitalize on Argentina Córdoba's evolving orthodontic market, we recommend:</w:t>
      </w:r>
    </w:p>
    <w:p>
      <w:pPr>
        <w:numPr>
          <w:ilvl w:val="0"/>
          <w:numId w:val="1004"/>
        </w:numPr>
        <w:pStyle w:val="Compact"/>
      </w:pPr>
      <w:r>
        <w:rPr>
          <w:bCs/>
          <w:b/>
        </w:rPr>
        <w:t xml:space="preserve">Expand Mobile Units:</w:t>
      </w:r>
      <w:r>
        <w:t xml:space="preserve"> </w:t>
      </w:r>
      <w:r>
        <w:t xml:space="preserve">Prioritize deployment to underserved areas like Calamuchita Valley and Punilla mountains, targeting families during school holidays for higher patient volumes.</w:t>
      </w:r>
    </w:p>
    <w:p>
      <w:pPr>
        <w:numPr>
          <w:ilvl w:val="0"/>
          <w:numId w:val="1004"/>
        </w:numPr>
        <w:pStyle w:val="Compact"/>
      </w:pPr>
      <w:r>
        <w:rPr>
          <w:bCs/>
          <w:b/>
        </w:rPr>
        <w:t xml:space="preserve">Precertification Partnerships:</w:t>
      </w:r>
      <w:r>
        <w:t xml:space="preserve"> </w:t>
      </w:r>
      <w:r>
        <w:t xml:space="preserve">Develop direct agreements with major insurers (e.g., OSDE) to streamline pre-approvals, reducing administrative delays for orthodontist practices.</w:t>
      </w:r>
    </w:p>
    <w:p>
      <w:pPr>
        <w:numPr>
          <w:ilvl w:val="0"/>
          <w:numId w:val="1004"/>
        </w:numPr>
        <w:pStyle w:val="Compact"/>
      </w:pPr>
      <w:r>
        <w:rPr>
          <w:bCs/>
          <w:b/>
        </w:rPr>
        <w:t xml:space="preserve">Digital Patient Engagement:</w:t>
      </w:r>
      <w:r>
        <w:t xml:space="preserve"> </w:t>
      </w:r>
      <w:r>
        <w:t xml:space="preserve">Implement localized telehealth consultations via WhatsApp and local platforms (e.g., Mercado Libre) to reach patients in remote Córdoba towns.</w:t>
      </w:r>
    </w:p>
    <w:p>
      <w:pPr>
        <w:numPr>
          <w:ilvl w:val="0"/>
          <w:numId w:val="1004"/>
        </w:numPr>
        <w:pStyle w:val="Compact"/>
      </w:pPr>
      <w:r>
        <w:rPr>
          <w:bCs/>
          <w:b/>
        </w:rPr>
        <w:t xml:space="preserve">Insurance Education Campaigns:</w:t>
      </w:r>
      <w:r>
        <w:t xml:space="preserve"> </w:t>
      </w:r>
      <w:r>
        <w:t xml:space="preserve">Collaborate with provincial health authorities on public awareness initiatives clarifying coverage limits under Argentina's 2023 Dental Care Law, driving patient conversion.</w:t>
      </w:r>
    </w:p>
    <w:bookmarkEnd w:id="25"/>
    <w:bookmarkStart w:id="26" w:name="Xb03870fc98d24ea20c85b9e8bb3f20b9da30776"/>
    <w:p>
      <w:pPr>
        <w:pStyle w:val="Heading2"/>
      </w:pPr>
      <w:r>
        <w:t xml:space="preserve">VII. Conclusion: The Future of Orthodontist Services in Argentina Córdoba</w:t>
      </w:r>
    </w:p>
    <w:p>
      <w:pPr>
        <w:pStyle w:val="FirstParagraph"/>
      </w:pPr>
      <w:r>
        <w:t xml:space="preserve">The Sales Report for orthodontic services in Argentina Córdoba demonstrates a resilient, rapidly evolving market poised for sustained growth. With the province's median household income rising steadily (4.1% annual increase), heightened health literacy, and targeted government healthcare initiatives, the demand trajectory for quality orthodontist care is undeniable. Successful practices will be those that navigate Argentina's unique economic landscape through adaptive pricing models, technological adoption, and deep community engagement within Córdoba's distinct urban and rural fabric.</w:t>
      </w:r>
    </w:p>
    <w:p>
      <w:pPr>
        <w:pStyle w:val="BodyText"/>
      </w:pPr>
      <w:r>
        <w:t xml:space="preserve">As this report concludes, we project a minimum 16% compound annual growth rate for the orthodontist sector across Argentina Córdoba through 2026. This positions orthodontic services not merely as a healthcare necessity, but as a strategic investment area with significant long-term returns for practices committed to excellence within the Córdoba market.</w:t>
      </w:r>
    </w:p>
    <w:p>
      <w:pPr>
        <w:pStyle w:val="BodyText"/>
      </w:pPr>
      <w:r>
        <w:rPr>
          <w:bCs/>
          <w:b/>
        </w:rPr>
        <w:t xml:space="preserve">Prepared By:</w:t>
      </w:r>
      <w:r>
        <w:t xml:space="preserve"> </w:t>
      </w:r>
      <w:r>
        <w:t xml:space="preserve">National Dental Market Intelligence Unit</w:t>
      </w:r>
      <w:r>
        <w:br/>
      </w:r>
      <w:r>
        <w:rPr>
          <w:bCs/>
          <w:b/>
        </w:rPr>
        <w:t xml:space="preserve">Contact:</w:t>
      </w:r>
      <w:r>
        <w:t xml:space="preserve"> </w:t>
      </w:r>
      <w:r>
        <w:t xml:space="preserve">info@argentinaorthodonticsalesreport.com | +54 351 278-0999</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Orthodontic Services Market Analysis - Argentina Córdoba</dc:title>
  <dc:creator/>
  <cp:keywords/>
  <dcterms:created xsi:type="dcterms:W3CDTF">2026-07-24T00:28:58Z</dcterms:created>
  <dcterms:modified xsi:type="dcterms:W3CDTF">2026-07-24T00:28:58Z</dcterms:modified>
</cp:coreProperties>
</file>

<file path=docProps/custom.xml><?xml version="1.0" encoding="utf-8"?>
<Properties xmlns="http://schemas.openxmlformats.org/officeDocument/2006/custom-properties" xmlns:vt="http://schemas.openxmlformats.org/officeDocument/2006/docPropsVTypes"/>
</file>