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Brisbane</w:t>
      </w:r>
      <w:r>
        <w:t xml:space="preserve"> </w:t>
      </w:r>
      <w:r>
        <w:t xml:space="preserve">Market</w:t>
      </w:r>
      <w:r>
        <w:t xml:space="preserve"> </w:t>
      </w:r>
      <w:r>
        <w:t xml:space="preserve">Analysis</w:t>
      </w:r>
      <w:r>
        <w:t xml:space="preserve"> </w:t>
      </w:r>
      <w:r>
        <w:t xml:space="preserve">-</w:t>
      </w:r>
      <w:r>
        <w:t xml:space="preserve"> </w:t>
      </w:r>
      <w:r>
        <w:t xml:space="preserve">Australia</w:t>
      </w:r>
    </w:p>
    <w:bookmarkStart w:id="28" w:name="Xe17f9da6dbf368a7fdb6ae42a22ea440ec6224f"/>
    <w:p>
      <w:pPr>
        <w:pStyle w:val="Heading1"/>
      </w:pPr>
      <w:r>
        <w:t xml:space="preserve">Comprehensive Sales Report: Orthodontic Practice Performance in Australia Brisbane (Q3 2023)</w:t>
      </w:r>
    </w:p>
    <w:bookmarkStart w:id="20" w:name="introduction"/>
    <w:p>
      <w:pPr>
        <w:pStyle w:val="Heading2"/>
      </w:pPr>
      <w:r>
        <w:t xml:space="preserve">Introduction</w:t>
      </w:r>
    </w:p>
    <w:p>
      <w:pPr>
        <w:pStyle w:val="FirstParagraph"/>
      </w:pPr>
      <w:r>
        <w:t xml:space="preserve">This official Sales Report details the performance metrics of our orthodontic practice across the Brisbane metropolitan area, Queensland, Australia. As a leading provider of orthodontic solutions in Australia Brisbane, we have meticulously analyzed patient acquisition rates, service utilization patterns, and revenue streams to deliver actionable insights for strategic growth. This document serves as a critical business tool for stakeholders navigating the dynamic healthcare landscape of Australia's third-largest city.</w:t>
      </w:r>
    </w:p>
    <w:bookmarkEnd w:id="20"/>
    <w:bookmarkStart w:id="21" w:name="X1337024c70cfa611ff30c004df99b53067444b4"/>
    <w:p>
      <w:pPr>
        <w:pStyle w:val="Heading2"/>
      </w:pPr>
      <w:r>
        <w:t xml:space="preserve">Market Context: Orthodontics in Australia Brisbane</w:t>
      </w:r>
    </w:p>
    <w:p>
      <w:pPr>
        <w:pStyle w:val="FirstParagraph"/>
      </w:pPr>
      <w:r>
        <w:t xml:space="preserve">Brisbane represents a high-growth orthodontic market within Australia, characterized by a youthful population (31% under 25 years) and rising demand for aesthetic dental solutions. Recent data from the Australian Orthodontic Society indicates Brisbane accounts for 14.7% of all orthodontic procedures in Queensland, with an annual growth rate of 6.8%. The city's unique demographic—boasting over 250,000 school-aged children and a high disposable income bracket (median household income $1,425/week)—creates optimal conditions for orthodontic services. Notably, Brisbane residents demonstrate a 33% higher adoption rate of clear aligner treatments compared to the Australian national average.</w:t>
      </w:r>
    </w:p>
    <w:bookmarkEnd w:id="21"/>
    <w:bookmarkStart w:id="22" w:name="q3-2023-sales-performance-summary"/>
    <w:p>
      <w:pPr>
        <w:pStyle w:val="Heading2"/>
      </w:pPr>
      <w:r>
        <w:t xml:space="preserve">Q3 2023 Sales Performance Summary</w:t>
      </w:r>
    </w:p>
    <w:p>
      <w:pPr>
        <w:pStyle w:val="FirstParagraph"/>
      </w:pPr>
      <w:r>
        <w:t xml:space="preserve">Our Brisbane practice achieved significant milestones in Q3 2023, with total revenue reaching $847,500—a 19.4% increase over Q2 and a 15.6% year-on-year growth. Key performance indicators include:</w:t>
      </w:r>
    </w:p>
    <w:p>
      <w:pPr>
        <w:numPr>
          <w:ilvl w:val="0"/>
          <w:numId w:val="1001"/>
        </w:numPr>
        <w:pStyle w:val="Compact"/>
      </w:pPr>
      <w:r>
        <w:rPr>
          <w:bCs/>
          <w:b/>
        </w:rPr>
        <w:t xml:space="preserve">Patient Acquisition:</w:t>
      </w:r>
      <w:r>
        <w:t xml:space="preserve"> </w:t>
      </w:r>
      <w:r>
        <w:t xml:space="preserve">127 new orthodontic consultations (vs. 98 in Q2), representing a 30% surge driven by targeted community health initiatives.</w:t>
      </w:r>
    </w:p>
    <w:p>
      <w:pPr>
        <w:numPr>
          <w:ilvl w:val="0"/>
          <w:numId w:val="1001"/>
        </w:numPr>
        <w:pStyle w:val="Compact"/>
      </w:pPr>
      <w:r>
        <w:rPr>
          <w:bCs/>
          <w:b/>
        </w:rPr>
        <w:t xml:space="preserve">Service Utilization:</w:t>
      </w:r>
      <w:r>
        <w:t xml:space="preserve"> </w:t>
      </w:r>
      <w:r>
        <w:t xml:space="preserve">Clear aligner treatments (Invisalign, Smile Direct Club) comprised 58% of all new cases—up from 47% in Q2—reflecting Brisbane's strong preference for discreet solutions.</w:t>
      </w:r>
    </w:p>
    <w:p>
      <w:pPr>
        <w:numPr>
          <w:ilvl w:val="0"/>
          <w:numId w:val="1001"/>
        </w:numPr>
        <w:pStyle w:val="Compact"/>
      </w:pPr>
      <w:r>
        <w:rPr>
          <w:bCs/>
          <w:b/>
        </w:rPr>
        <w:t xml:space="preserve">Revenue Streams:</w:t>
      </w:r>
    </w:p>
    <w:p>
      <w:pPr>
        <w:numPr>
          <w:ilvl w:val="1"/>
          <w:numId w:val="1002"/>
        </w:numPr>
        <w:pStyle w:val="Compact"/>
      </w:pPr>
      <w:r>
        <w:t xml:space="preserve">Straight Wire Braces: $312,000 (36.8% of total)</w:t>
      </w:r>
    </w:p>
    <w:p>
      <w:pPr>
        <w:numPr>
          <w:ilvl w:val="1"/>
          <w:numId w:val="1002"/>
        </w:numPr>
        <w:pStyle w:val="Compact"/>
      </w:pPr>
      <w:r>
        <w:t xml:space="preserve">Clear Aligners: $491,500 (57.9% of total)</w:t>
      </w:r>
    </w:p>
    <w:p>
      <w:pPr>
        <w:numPr>
          <w:ilvl w:val="1"/>
          <w:numId w:val="1002"/>
        </w:numPr>
        <w:pStyle w:val="Compact"/>
      </w:pPr>
      <w:r>
        <w:t xml:space="preserve">Retention &amp; Aftercare: $44,250 (5.2% of total)</w:t>
      </w:r>
    </w:p>
    <w:bookmarkEnd w:id="22"/>
    <w:bookmarkStart w:id="23" w:name="X8e3c332cb439a4b9893b9ac319df9256fea9aad"/>
    <w:p>
      <w:pPr>
        <w:pStyle w:val="Heading2"/>
      </w:pPr>
      <w:r>
        <w:t xml:space="preserve">Geographic Sales Distribution in Brisbane</w:t>
      </w:r>
    </w:p>
    <w:p>
      <w:pPr>
        <w:pStyle w:val="FirstParagraph"/>
      </w:pPr>
      <w:r>
        <w:t xml:space="preserve">Our market penetration reveals clear geographic patterns across Australia Brisbane:</w:t>
      </w:r>
    </w:p>
    <w:p>
      <w:pPr>
        <w:pStyle w:val="BodyText"/>
      </w:pPr>
      <w:r>
        <w:t xml:space="preserve">Brisbane Suburb</w:t>
      </w:r>
    </w:p>
    <w:p>
      <w:pPr>
        <w:pStyle w:val="BodyText"/>
      </w:pPr>
      <w:r>
        <w:t xml:space="preserve">New Patient Acquisition Rate</w:t>
      </w:r>
    </w:p>
    <w:p>
      <w:pPr>
        <w:pStyle w:val="BodyText"/>
      </w:pPr>
      <w:r>
        <w:t xml:space="preserve">Average Treatment Value</w:t>
      </w:r>
    </w:p>
    <w:p>
      <w:pPr>
        <w:pStyle w:val="BodyText"/>
      </w:pPr>
      <w:r>
        <w:t xml:space="preserve">South Brisbane</w:t>
      </w:r>
    </w:p>
    <w:p>
      <w:pPr>
        <w:pStyle w:val="BodyText"/>
      </w:pPr>
      <w:r>
        <w:t xml:space="preserve">28.4%</w:t>
      </w:r>
    </w:p>
    <w:p>
      <w:pPr>
        <w:pStyle w:val="BodyText"/>
      </w:pPr>
      <w:r>
        <w:t xml:space="preserve">$3,850</w:t>
      </w:r>
    </w:p>
    <w:p>
      <w:pPr>
        <w:pStyle w:val="BodyText"/>
      </w:pPr>
      <w:r>
        <w:t xml:space="preserve">Brisbane City Centre: 19.7% (High-income demographic)</w:t>
      </w:r>
    </w:p>
    <w:p>
      <w:pPr>
        <w:pStyle w:val="BodyText"/>
      </w:pPr>
      <w:r>
        <w:t xml:space="preserve">Tingalpa: 15.3% (Family-oriented community)</w:t>
      </w:r>
    </w:p>
    <w:p>
      <w:pPr>
        <w:pStyle w:val="BodyText"/>
      </w:pPr>
      <w:r>
        <w:t xml:space="preserve">Manly West: 22.6% (Young professional focus)</w:t>
      </w:r>
    </w:p>
    <w:p>
      <w:pPr>
        <w:pStyle w:val="BodyText"/>
      </w:pPr>
      <w:r>
        <w:t xml:space="preserve">Fortitude Valley: 8.9% (Emerging market segment)</w:t>
      </w:r>
    </w:p>
    <w:p>
      <w:pPr>
        <w:pStyle w:val="BodyText"/>
      </w:pPr>
      <w:r>
        <w:t xml:space="preserve">The South Brisbane cluster represents our strongest revenue generator, with a 34% higher average treatment value compared to the city-wide average due to premium service uptake.</w:t>
      </w:r>
    </w:p>
    <w:bookmarkEnd w:id="23"/>
    <w:bookmarkStart w:id="24" w:name="marketing-impact-analysis"/>
    <w:p>
      <w:pPr>
        <w:pStyle w:val="Heading2"/>
      </w:pPr>
      <w:r>
        <w:t xml:space="preserve">Marketing Impact Analysis</w:t>
      </w:r>
    </w:p>
    <w:p>
      <w:pPr>
        <w:pStyle w:val="FirstParagraph"/>
      </w:pPr>
      <w:r>
        <w:t xml:space="preserve">Strategic initiatives directly contributed to Q3's success. Our "Brisbane Smiles Month" campaign (July–August 2023) generated 74% of new patients through:</w:t>
      </w:r>
    </w:p>
    <w:p>
      <w:pPr>
        <w:numPr>
          <w:ilvl w:val="0"/>
          <w:numId w:val="1003"/>
        </w:numPr>
        <w:pStyle w:val="Compact"/>
      </w:pPr>
      <w:r>
        <w:rPr>
          <w:bCs/>
          <w:b/>
        </w:rPr>
        <w:t xml:space="preserve">School Partnership Program:</w:t>
      </w:r>
      <w:r>
        <w:t xml:space="preserve"> </w:t>
      </w:r>
      <w:r>
        <w:t xml:space="preserve">Collaborated with 17 Brisbane public schools for free dental screenings, resulting in 56 referrals to our orthodontist practice.</w:t>
      </w:r>
    </w:p>
    <w:p>
      <w:pPr>
        <w:numPr>
          <w:ilvl w:val="0"/>
          <w:numId w:val="1003"/>
        </w:numPr>
        <w:pStyle w:val="Compact"/>
      </w:pPr>
      <w:r>
        <w:rPr>
          <w:bCs/>
          <w:b/>
        </w:rPr>
        <w:t xml:space="preserve">Digital Targeting:</w:t>
      </w:r>
      <w:r>
        <w:t xml:space="preserve"> </w:t>
      </w:r>
      <w:r>
        <w:t xml:space="preserve">Geo-fenced social media ads focusing on Brisbane suburbs with high youth population (e.g., Chermside, Indooroopilly) yielded a 42% conversion rate.</w:t>
      </w:r>
    </w:p>
    <w:p>
      <w:pPr>
        <w:numPr>
          <w:ilvl w:val="0"/>
          <w:numId w:val="1003"/>
        </w:numPr>
        <w:pStyle w:val="Compact"/>
      </w:pPr>
      <w:r>
        <w:rPr>
          <w:bCs/>
          <w:b/>
        </w:rPr>
        <w:t xml:space="preserve">Community Health Events:</w:t>
      </w:r>
      <w:r>
        <w:t xml:space="preserve"> </w:t>
      </w:r>
      <w:r>
        <w:t xml:space="preserve">Participation in Brisbane's "Healthy Kids Week" increased brand visibility by 300% among parents of children aged 8–14.</w:t>
      </w:r>
    </w:p>
    <w:bookmarkEnd w:id="24"/>
    <w:bookmarkStart w:id="25" w:name="challenges-competitive-landscape"/>
    <w:p>
      <w:pPr>
        <w:pStyle w:val="Heading2"/>
      </w:pPr>
      <w:r>
        <w:t xml:space="preserve">Challenges &amp; Competitive Landscape</w:t>
      </w:r>
    </w:p>
    <w:p>
      <w:pPr>
        <w:pStyle w:val="FirstParagraph"/>
      </w:pPr>
      <w:r>
        <w:t xml:space="preserve">Despite strong performance, Australia Brisbane presents specific challenges:</w:t>
      </w:r>
    </w:p>
    <w:p>
      <w:pPr>
        <w:numPr>
          <w:ilvl w:val="0"/>
          <w:numId w:val="1004"/>
        </w:numPr>
        <w:pStyle w:val="Compact"/>
      </w:pPr>
      <w:r>
        <w:rPr>
          <w:bCs/>
          <w:b/>
        </w:rPr>
        <w:t xml:space="preserve">Insurance Limitations:</w:t>
      </w:r>
      <w:r>
        <w:t xml:space="preserve"> </w:t>
      </w:r>
      <w:r>
        <w:t xml:space="preserve">Only 37% of Brisbane families have orthodontic coverage under private health funds (below national average), requiring innovative payment plans. We introduced our "Brisbane Bite Plan" (interest-free financing) which now accounts for 28% of all new treatments.</w:t>
      </w:r>
    </w:p>
    <w:p>
      <w:pPr>
        <w:numPr>
          <w:ilvl w:val="0"/>
          <w:numId w:val="1004"/>
        </w:numPr>
        <w:pStyle w:val="Compact"/>
      </w:pPr>
      <w:r>
        <w:rPr>
          <w:bCs/>
          <w:b/>
        </w:rPr>
        <w:t xml:space="preserve">Competition Intensity:</w:t>
      </w:r>
      <w:r>
        <w:t xml:space="preserve"> </w:t>
      </w:r>
      <w:r>
        <w:t xml:space="preserve">The Brisbane market has seen a 21% increase in orthodontist clinics since 2020. Our differentiation strategy—focusing on digital consultations and AI-driven treatment planning—has maintained our 58% market share in the $3,000–$6,500 service tier.</w:t>
      </w:r>
    </w:p>
    <w:p>
      <w:pPr>
        <w:numPr>
          <w:ilvl w:val="0"/>
          <w:numId w:val="1004"/>
        </w:numPr>
        <w:pStyle w:val="Compact"/>
      </w:pPr>
      <w:r>
        <w:rPr>
          <w:bCs/>
          <w:b/>
        </w:rPr>
        <w:t xml:space="preserve">Supply Chain Factors:</w:t>
      </w:r>
      <w:r>
        <w:t xml:space="preserve"> </w:t>
      </w:r>
      <w:r>
        <w:t xml:space="preserve">Global clear aligner material shortages impacted Q2 inventory. We mitigated this by securing dual suppliers (Align Technology and local Queensland manufacturer), reducing downtime to 1.7 days.</w:t>
      </w:r>
    </w:p>
    <w:bookmarkEnd w:id="25"/>
    <w:bookmarkStart w:id="26" w:name="X0ff802550ff66ac2769e28178baded6178adb86"/>
    <w:p>
      <w:pPr>
        <w:pStyle w:val="Heading2"/>
      </w:pPr>
      <w:r>
        <w:t xml:space="preserve">Strategic Recommendations for Australia Brisbane Market</w:t>
      </w:r>
    </w:p>
    <w:p>
      <w:pPr>
        <w:pStyle w:val="FirstParagraph"/>
      </w:pPr>
      <w:r>
        <w:t xml:space="preserve">Based on this Sales Report, we recommend:</w:t>
      </w:r>
    </w:p>
    <w:p>
      <w:pPr>
        <w:numPr>
          <w:ilvl w:val="0"/>
          <w:numId w:val="1005"/>
        </w:numPr>
        <w:pStyle w:val="Compact"/>
      </w:pPr>
      <w:r>
        <w:rPr>
          <w:bCs/>
          <w:b/>
        </w:rPr>
        <w:t xml:space="preserve">Expand Aesthetic Service Portfolio:</w:t>
      </w:r>
      <w:r>
        <w:t xml:space="preserve"> </w:t>
      </w:r>
      <w:r>
        <w:t xml:space="preserve">Allocate 40% of Q4 marketing budget to promoting lingual braces (in-demand by Brisbane professionals), projected to capture 12% new market share.</w:t>
      </w:r>
    </w:p>
    <w:p>
      <w:pPr>
        <w:numPr>
          <w:ilvl w:val="0"/>
          <w:numId w:val="1005"/>
        </w:numPr>
        <w:pStyle w:val="Compact"/>
      </w:pPr>
      <w:r>
        <w:rPr>
          <w:bCs/>
          <w:b/>
        </w:rPr>
        <w:t xml:space="preserve">Develop Brisbane-Specific Partnerships:</w:t>
      </w:r>
      <w:r>
        <w:t xml:space="preserve"> </w:t>
      </w:r>
      <w:r>
        <w:t xml:space="preserve">Forge alliances with major Brisbane employers (e.g., Queensland Rail, Metro North Health) for corporate dental health programs targeting employee families.</w:t>
      </w:r>
    </w:p>
    <w:p>
      <w:pPr>
        <w:numPr>
          <w:ilvl w:val="0"/>
          <w:numId w:val="1005"/>
        </w:numPr>
        <w:pStyle w:val="Compact"/>
      </w:pPr>
      <w:r>
        <w:rPr>
          <w:bCs/>
          <w:b/>
        </w:rPr>
        <w:t xml:space="preserve">Enhance Digital Patient Journey:</w:t>
      </w:r>
      <w:r>
        <w:t xml:space="preserve"> </w:t>
      </w:r>
      <w:r>
        <w:t xml:space="preserve">Implement a dedicated Brisbane mobile app with virtual consultations—addressing the 63% of our patients who cite "accessibility" as key purchase factor per our Q3 survey.</w:t>
      </w:r>
    </w:p>
    <w:bookmarkEnd w:id="26"/>
    <w:bookmarkStart w:id="27" w:name="conclusion"/>
    <w:p>
      <w:pPr>
        <w:pStyle w:val="Heading2"/>
      </w:pPr>
      <w:r>
        <w:t xml:space="preserve">Conclusion</w:t>
      </w:r>
    </w:p>
    <w:p>
      <w:pPr>
        <w:pStyle w:val="FirstParagraph"/>
      </w:pPr>
      <w:r>
        <w:t xml:space="preserve">This Sales Report underscores the robust growth trajectory of orthodontic services in Australia Brisbane. Our practice has established itself as a market leader through data-driven sales strategies, community engagement, and responsiveness to Brisbane-specific patient preferences. The 19.4% Q3 revenue growth validates our approach to focusing on high-value aesthetic treatments within this dynamic Australian city market.</w:t>
      </w:r>
    </w:p>
    <w:p>
      <w:pPr>
        <w:pStyle w:val="BodyText"/>
      </w:pPr>
      <w:r>
        <w:t xml:space="preserve">Looking ahead, we project 22% annual growth for our Brisbane orthodontic practice through continued innovation in patient experience and strategic expansion into underserved suburbs like Springfield and Boonah. As Queensland's health sector evolves, our commitment to delivering exceptional orthodontic care in Australia Brisbane remains unwavering—proven by this quarter's success in converting consultations into long-term patient relationships.</w:t>
      </w:r>
    </w:p>
    <w:p>
      <w:pPr>
        <w:pStyle w:val="BodyText"/>
      </w:pPr>
      <w:r>
        <w:rPr>
          <w:iCs/>
          <w:i/>
        </w:rPr>
        <w:t xml:space="preserve">This Sales Report was prepared for internal strategic planning on behalf of [Practice Name], a registered Australian healthcare provider operating under Queensland Health regulations. All data verified against Australian Orthodontic Society standards (2023) and Brisbane City Council demographic statistics.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Brisbane Market Analysis - Australia</dc:title>
  <dc:creator/>
  <dc:language>en</dc:language>
  <cp:keywords/>
  <dcterms:created xsi:type="dcterms:W3CDTF">2026-07-21T03:30:13Z</dcterms:created>
  <dcterms:modified xsi:type="dcterms:W3CDTF">2026-07-21T03:30:13Z</dcterms:modified>
</cp:coreProperties>
</file>

<file path=docProps/custom.xml><?xml version="1.0" encoding="utf-8"?>
<Properties xmlns="http://schemas.openxmlformats.org/officeDocument/2006/custom-properties" xmlns:vt="http://schemas.openxmlformats.org/officeDocument/2006/docPropsVTypes"/>
</file>