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Sales</w:t>
      </w:r>
      <w:r>
        <w:t xml:space="preserve"> </w:t>
      </w:r>
      <w:r>
        <w:t xml:space="preserve">Report:</w:t>
      </w:r>
      <w:r>
        <w:t xml:space="preserve"> </w:t>
      </w:r>
      <w:r>
        <w:t xml:space="preserve">Melbourne</w:t>
      </w:r>
      <w:r>
        <w:t xml:space="preserve"> </w:t>
      </w:r>
      <w:r>
        <w:t xml:space="preserve">Australia</w:t>
      </w:r>
      <w:r>
        <w:t xml:space="preserve"> </w:t>
      </w:r>
      <w:r>
        <w:t xml:space="preserve">Market</w:t>
      </w:r>
      <w:r>
        <w:t xml:space="preserve"> </w:t>
      </w:r>
      <w:r>
        <w:t xml:space="preserve">Analysis</w:t>
      </w:r>
    </w:p>
    <w:bookmarkStart w:id="30" w:name="Xb9b9a340fc31d08c57da07476481f926b5ee881"/>
    <w:p>
      <w:pPr>
        <w:pStyle w:val="Heading1"/>
      </w:pPr>
      <w:r>
        <w:t xml:space="preserve">Orthodontist Sales Report: Melbourne Australia Market Performance (Q3 2023)</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Melbourne Orthodontic Group</w:t>
      </w:r>
    </w:p>
    <w:p>
      <w:pPr>
        <w:pStyle w:val="BodyText"/>
      </w:pPr>
      <w:r>
        <w:t xml:space="preserve">This comprehensive Sales Report details the performance of our orthodontic practice across Melbourne Australia during Q3 2023. As leading providers of orthodontic care in Victoria, we analyze key revenue streams, market positioning, and strategic opportunities to maintain our competitive edge in one of Australia's most dynamic dental markets.</w:t>
      </w:r>
    </w:p>
    <w:bookmarkStart w:id="20" w:name="executive-summary"/>
    <w:p>
      <w:pPr>
        <w:pStyle w:val="Heading2"/>
      </w:pPr>
      <w:r>
        <w:t xml:space="preserve">Executive Summary</w:t>
      </w:r>
    </w:p>
    <w:p>
      <w:pPr>
        <w:pStyle w:val="FirstParagraph"/>
      </w:pPr>
      <w:r>
        <w:t xml:space="preserve">The Melbourne orthodontic sector demonstrated robust growth during Q3 2023, with our practice achieving a 14.7% year-over-year increase in patient acquisitions and exceeding revenue targets by 8.3%. This performance aligns with the broader Australian market's projected 9.2% annual growth rate for orthodontic services (Australian Dental Association, Q3 Report). Our strategic focus on digital marketing and family-focused treatment packages has proven particularly effective in capturing the growing demand from Melbourne's diverse demographic landscape.</w:t>
      </w:r>
    </w:p>
    <w:bookmarkEnd w:id="20"/>
    <w:bookmarkStart w:id="21" w:name="Xf40de2007e8c4091c2af096267a3d6abd812a8c"/>
    <w:p>
      <w:pPr>
        <w:pStyle w:val="Heading2"/>
      </w:pPr>
      <w:r>
        <w:t xml:space="preserve">Key Sales Metrics: Australia Melbourne Context</w:t>
      </w:r>
    </w:p>
    <w:p>
      <w:pPr>
        <w:pStyle w:val="FirstParagraph"/>
      </w:pPr>
      <w:r>
        <w:t xml:space="preserve">Performance Indicator</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New Patient Consultations (Melbourne)</w:t>
      </w:r>
    </w:p>
    <w:p>
      <w:pPr>
        <w:pStyle w:val="BodyText"/>
      </w:pPr>
      <w:r>
        <w:t xml:space="preserve">487</w:t>
      </w:r>
    </w:p>
    <w:p>
      <w:pPr>
        <w:pStyle w:val="BodyText"/>
      </w:pPr>
      <w:r>
        <w:t xml:space="preserve">415</w:t>
      </w:r>
    </w:p>
    <w:p>
      <w:pPr>
        <w:pStyle w:val="BodyText"/>
      </w:pPr>
      <w:r>
        <w:t xml:space="preserve">+17.3%</w:t>
      </w:r>
    </w:p>
    <w:p>
      <w:pPr>
        <w:pStyle w:val="BodyText"/>
      </w:pPr>
      <w:r>
        <w:t xml:space="preserve">Scheduled Treatment Starts</w:t>
      </w:r>
    </w:p>
    <w:p>
      <w:pPr>
        <w:pStyle w:val="BodyText"/>
      </w:pPr>
      <w:r>
        <w:t xml:space="preserve">&lt; td&gt;292&lt; td &gt;231 &lt; td &gt; + 26 . 4 %</w:t>
      </w:r>
    </w:p>
    <w:p>
      <w:pPr>
        <w:pStyle w:val="BodyText"/>
      </w:pPr>
      <w:r>
        <w:t xml:space="preserve">Average Revenue Per Patient (ARP)</w:t>
      </w:r>
    </w:p>
    <w:p>
      <w:pPr>
        <w:pStyle w:val="BodyText"/>
      </w:pPr>
      <w:r>
        <w:t xml:space="preserve">$3,850</w:t>
      </w:r>
    </w:p>
    <w:p>
      <w:pPr>
        <w:pStyle w:val="BodyText"/>
      </w:pPr>
      <w:r>
        <w:t xml:space="preserve">$3,600</w:t>
      </w:r>
    </w:p>
    <w:p>
      <w:pPr>
        <w:pStyle w:val="BodyText"/>
      </w:pPr>
      <w:r>
        <w:t xml:space="preserve">+7.0%</w:t>
      </w:r>
    </w:p>
    <w:p>
      <w:pPr>
        <w:pStyle w:val="BodyText"/>
      </w:pPr>
      <w:r>
        <w:t xml:space="preserve">Retention Rate (Existing Patients)</w:t>
      </w:r>
    </w:p>
    <w:p>
      <w:pPr>
        <w:pStyle w:val="BodyText"/>
      </w:pPr>
      <w:r>
        <w:t xml:space="preserve">&lt; td &gt;89 . 2 % &lt; td &gt;84 . 1 % &lt; td &gt; + 5 . 1 p p</w:t>
      </w:r>
    </w:p>
    <w:p>
      <w:pPr>
        <w:pStyle w:val="BodyText"/>
      </w:pPr>
      <w:r>
        <w:t xml:space="preserve">Total Revenue (Melbourne Practices)</w:t>
      </w:r>
    </w:p>
    <w:p>
      <w:pPr>
        <w:pStyle w:val="BodyText"/>
      </w:pPr>
      <w:r>
        <w:t xml:space="preserve">$1,127,000</w:t>
      </w:r>
    </w:p>
    <w:p>
      <w:pPr>
        <w:pStyle w:val="BodyText"/>
      </w:pPr>
      <w:r>
        <w:t xml:space="preserve">$986,500</w:t>
      </w:r>
    </w:p>
    <w:p>
      <w:pPr>
        <w:pStyle w:val="BodyText"/>
      </w:pPr>
      <w:r>
        <w:t xml:space="preserve">+14.2%</w:t>
      </w:r>
    </w:p>
    <w:bookmarkEnd w:id="21"/>
    <w:bookmarkStart w:id="25" w:name="Xfefb370563d29c7161f6cd0a039a51a7ac66620"/>
    <w:p>
      <w:pPr>
        <w:pStyle w:val="Heading2"/>
      </w:pPr>
      <w:r>
        <w:t xml:space="preserve">Market Analysis: Australia Melbourne Orthodontic Landscape</w:t>
      </w:r>
    </w:p>
    <w:p>
      <w:pPr>
        <w:pStyle w:val="FirstParagraph"/>
      </w:pPr>
      <w:r>
        <w:t xml:space="preserve">Our Sales Report identifies three critical trends shaping the orthodontist market in Melbourne Australia:</w:t>
      </w:r>
    </w:p>
    <w:bookmarkStart w:id="22" w:name="rising-demand-for-aesthetic-solutions"/>
    <w:p>
      <w:pPr>
        <w:pStyle w:val="Heading3"/>
      </w:pPr>
      <w:r>
        <w:t xml:space="preserve">1. Rising Demand for Aesthetic Solutions</w:t>
      </w:r>
    </w:p>
    <w:p>
      <w:pPr>
        <w:pStyle w:val="FirstParagraph"/>
      </w:pPr>
      <w:r>
        <w:t xml:space="preserve">Melbourne patients continue to prioritize discreet treatment options, with clear aligners (Invisalign, SmileDirectClub) representing 68% of new cases – up from 52% in Q3 2022. This trend is particularly strong among adults (18-45 years) who constitute 43% of our new patients. The Australian government's recent Medicare initiative supporting orthodontic care for children with severe malocclusion has also contributed to increased referrals from general dentists across Melbourne.</w:t>
      </w:r>
    </w:p>
    <w:bookmarkEnd w:id="22"/>
    <w:bookmarkStart w:id="23" w:name="geographic-expansion-opportunities"/>
    <w:p>
      <w:pPr>
        <w:pStyle w:val="Heading3"/>
      </w:pPr>
      <w:r>
        <w:t xml:space="preserve">2. Geographic Expansion Opportunities</w:t>
      </w:r>
    </w:p>
    <w:p>
      <w:pPr>
        <w:pStyle w:val="FirstParagraph"/>
      </w:pPr>
      <w:r>
        <w:t xml:space="preserve">Data reveals significant underserved markets in Melbourne's outer suburbs (e.g., Casey, Hume, and Whittlesea). While our two established clinics in Southbank and Northcote capture 71% of metropolitan demand, new patient acquisition rates in emerging growth corridors have increased by 28% year-on-year. This presents a strategic opportunity for the Melbourne orthodontist community to expand services into these high-growth areas.</w:t>
      </w:r>
    </w:p>
    <w:bookmarkEnd w:id="23"/>
    <w:bookmarkStart w:id="24" w:name="insurance-payment-innovation"/>
    <w:p>
      <w:pPr>
        <w:pStyle w:val="Heading3"/>
      </w:pPr>
      <w:r>
        <w:t xml:space="preserve">3. Insurance &amp; Payment Innovation</w:t>
      </w:r>
    </w:p>
    <w:p>
      <w:pPr>
        <w:pStyle w:val="FirstParagraph"/>
      </w:pPr>
      <w:r>
        <w:t xml:space="preserve">Orthodontic financing options have become a decisive factor in patient conversion. Our partnership with Medibank Private and HCF has enabled 62% of new patients to secure interest-free payment plans – directly contributing to our 14.7% growth in treatment starts. The recent Australian Competition &amp; Consumer Commission (ACCC) guidelines on transparent orthodontic pricing have further strengthened consumer confidence in our industry.</w:t>
      </w:r>
    </w:p>
    <w:bookmarkEnd w:id="24"/>
    <w:bookmarkEnd w:id="25"/>
    <w:bookmarkStart w:id="26" w:name="customer-insights-melbourne-demographics"/>
    <w:p>
      <w:pPr>
        <w:pStyle w:val="Heading2"/>
      </w:pPr>
      <w:r>
        <w:t xml:space="preserve">Customer Insights: Melbourne Demographics</w:t>
      </w:r>
    </w:p>
    <w:p>
      <w:pPr>
        <w:pStyle w:val="FirstParagraph"/>
      </w:pPr>
      <w:r>
        <w:t xml:space="preserve">Analysis of patient data from Australia Melbourne reveals:</w:t>
      </w:r>
    </w:p>
    <w:p>
      <w:pPr>
        <w:numPr>
          <w:ilvl w:val="0"/>
          <w:numId w:val="1001"/>
        </w:numPr>
        <w:pStyle w:val="Compact"/>
      </w:pPr>
      <w:r>
        <w:rPr>
          <w:bCs/>
          <w:b/>
        </w:rPr>
        <w:t xml:space="preserve">Age Distribution:</w:t>
      </w:r>
      <w:r>
        <w:t xml:space="preserve"> </w:t>
      </w:r>
      <w:r>
        <w:t xml:space="preserve">38% adolescents (10-17), 43% adults (18-45), 19% seniors (46+)</w:t>
      </w:r>
    </w:p>
    <w:p>
      <w:pPr>
        <w:numPr>
          <w:ilvl w:val="0"/>
          <w:numId w:val="1001"/>
        </w:numPr>
        <w:pStyle w:val="Compact"/>
      </w:pPr>
      <w:r>
        <w:rPr>
          <w:bCs/>
          <w:b/>
        </w:rPr>
        <w:t xml:space="preserve">Geographic Spread:</w:t>
      </w:r>
      <w:r>
        <w:t xml:space="preserve"> </w:t>
      </w:r>
      <w:r>
        <w:t xml:space="preserve">62% Melbourne metropolitan area, 27% outer suburbs, 11% regional Victoria</w:t>
      </w:r>
    </w:p>
    <w:p>
      <w:pPr>
        <w:numPr>
          <w:ilvl w:val="0"/>
          <w:numId w:val="1001"/>
        </w:numPr>
        <w:pStyle w:val="Compact"/>
      </w:pPr>
      <w:r>
        <w:rPr>
          <w:bCs/>
          <w:b/>
        </w:rPr>
        <w:t xml:space="preserve">Primary Motivations:</w:t>
      </w:r>
      <w:r>
        <w:t xml:space="preserve"> </w:t>
      </w:r>
      <w:r>
        <w:t xml:space="preserve">Aesthetic concerns (58%), functional improvement (32%), and health recommendations (10%)</w:t>
      </w:r>
    </w:p>
    <w:p>
      <w:pPr>
        <w:numPr>
          <w:ilvl w:val="0"/>
          <w:numId w:val="1001"/>
        </w:numPr>
        <w:pStyle w:val="Compact"/>
      </w:pPr>
      <w:r>
        <w:rPr>
          <w:bCs/>
          <w:b/>
        </w:rPr>
        <w:t xml:space="preserve">Decision Drivers:</w:t>
      </w:r>
      <w:r>
        <w:t xml:space="preserve"> </w:t>
      </w:r>
      <w:r>
        <w:t xml:space="preserve">Online reviews (76%), dentist referrals (64%), and virtual consultations (51%)</w:t>
      </w:r>
    </w:p>
    <w:bookmarkEnd w:id="26"/>
    <w:bookmarkStart w:id="27" w:name="X68b5cb19640d6b4d8f4bfb317def6213b8672f5"/>
    <w:p>
      <w:pPr>
        <w:pStyle w:val="Heading2"/>
      </w:pPr>
      <w:r>
        <w:t xml:space="preserve">Challenges Facing Melbourne Orthodontists</w:t>
      </w:r>
    </w:p>
    <w:p>
      <w:pPr>
        <w:pStyle w:val="FirstParagraph"/>
      </w:pPr>
      <w:r>
        <w:t xml:space="preserve">The Sales Report identifies two critical challenges requiring immediate attention:</w:t>
      </w:r>
    </w:p>
    <w:p>
      <w:pPr>
        <w:numPr>
          <w:ilvl w:val="0"/>
          <w:numId w:val="1002"/>
        </w:numPr>
        <w:pStyle w:val="Compact"/>
      </w:pPr>
      <w:r>
        <w:rPr>
          <w:bCs/>
          <w:b/>
        </w:rPr>
        <w:t xml:space="preserve">Talent Shortage:</w:t>
      </w:r>
      <w:r>
        <w:t xml:space="preserve"> </w:t>
      </w:r>
      <w:r>
        <w:t xml:space="preserve">Victoria faces a 23% shortage of qualified orthodontic specialists, with Melbourne clinics reporting 17% higher recruitment costs than national averages. This directly impacts our ability to scale services during peak demand periods.</w:t>
      </w:r>
    </w:p>
    <w:p>
      <w:pPr>
        <w:numPr>
          <w:ilvl w:val="0"/>
          <w:numId w:val="1002"/>
        </w:numPr>
        <w:pStyle w:val="Compact"/>
      </w:pPr>
      <w:r>
        <w:rPr>
          <w:bCs/>
          <w:b/>
        </w:rPr>
        <w:t xml:space="preserve">Price Sensitivity:</w:t>
      </w:r>
      <w:r>
        <w:t xml:space="preserve"> </w:t>
      </w:r>
      <w:r>
        <w:t xml:space="preserve">While Australian patients value quality care, 41% express concern about treatment costs. Competitors in Melbourne's CBD are undercutting pricing by 8-12% for basic braces, creating margin pressure.</w:t>
      </w:r>
    </w:p>
    <w:bookmarkEnd w:id="27"/>
    <w:bookmarkStart w:id="28" w:name="strategic-recommendations-for-growth"/>
    <w:p>
      <w:pPr>
        <w:pStyle w:val="Heading2"/>
      </w:pPr>
      <w:r>
        <w:t xml:space="preserve">Strategic Recommendations for Growth</w:t>
      </w:r>
    </w:p>
    <w:p>
      <w:pPr>
        <w:pStyle w:val="FirstParagraph"/>
      </w:pPr>
      <w:r>
        <w:t xml:space="preserve">To capitalize on market opportunities identified in this Sales Report, we propose:</w:t>
      </w:r>
    </w:p>
    <w:p>
      <w:pPr>
        <w:numPr>
          <w:ilvl w:val="0"/>
          <w:numId w:val="1003"/>
        </w:numPr>
        <w:pStyle w:val="Compact"/>
      </w:pPr>
      <w:r>
        <w:rPr>
          <w:bCs/>
          <w:b/>
        </w:rPr>
        <w:t xml:space="preserve">Expand Digital Presence:</w:t>
      </w:r>
      <w:r>
        <w:t xml:space="preserve"> </w:t>
      </w:r>
      <w:r>
        <w:t xml:space="preserve">Invest 15% more in targeted Facebook/Google Ads focusing on Melbourne suburbs with &gt;40% household income growth (e.g., Werribee, Sunshine). Our data shows a 2.3x higher conversion rate from geo-targeted campaigns.</w:t>
      </w:r>
    </w:p>
    <w:p>
      <w:pPr>
        <w:numPr>
          <w:ilvl w:val="0"/>
          <w:numId w:val="1003"/>
        </w:numPr>
        <w:pStyle w:val="Compact"/>
      </w:pPr>
      <w:r>
        <w:rPr>
          <w:bCs/>
          <w:b/>
        </w:rPr>
        <w:t xml:space="preserve">Launch Family Package:</w:t>
      </w:r>
      <w:r>
        <w:t xml:space="preserve"> </w:t>
      </w:r>
      <w:r>
        <w:t xml:space="preserve">Develop bundled orthodontic plans for multiple family members (e.g., "Complete Family Orthodontics" at 15% discount) to leverage Melbourne's strong family-oriented culture.</w:t>
      </w:r>
    </w:p>
    <w:p>
      <w:pPr>
        <w:numPr>
          <w:ilvl w:val="0"/>
          <w:numId w:val="1003"/>
        </w:numPr>
        <w:pStyle w:val="Compact"/>
      </w:pPr>
      <w:r>
        <w:rPr>
          <w:bCs/>
          <w:b/>
        </w:rPr>
        <w:t xml:space="preserve">Strengthen Insurance Partnerships:</w:t>
      </w:r>
      <w:r>
        <w:t xml:space="preserve"> </w:t>
      </w:r>
      <w:r>
        <w:t xml:space="preserve">Pursue agreements with additional health funds covering 70%+ of treatment costs, directly addressing the price sensitivity challenge identified in our customer insights.</w:t>
      </w:r>
    </w:p>
    <w:p>
      <w:pPr>
        <w:numPr>
          <w:ilvl w:val="0"/>
          <w:numId w:val="1003"/>
        </w:numPr>
        <w:pStyle w:val="Compact"/>
      </w:pPr>
      <w:r>
        <w:rPr>
          <w:bCs/>
          <w:b/>
        </w:rPr>
        <w:t xml:space="preserve">Suburban Clinic Expansion:</w:t>
      </w:r>
      <w:r>
        <w:t xml:space="preserve"> </w:t>
      </w:r>
      <w:r>
        <w:t xml:space="preserve">Open a third practice in Melbourne's growing western corridor (e.g., Rockbank) by Q2 2024 to capture underserved markets and reduce patient wait times.</w:t>
      </w:r>
    </w:p>
    <w:bookmarkEnd w:id="28"/>
    <w:bookmarkStart w:id="29" w:name="conclusion"/>
    <w:p>
      <w:pPr>
        <w:pStyle w:val="Heading2"/>
      </w:pPr>
      <w:r>
        <w:t xml:space="preserve">Conclusion</w:t>
      </w:r>
    </w:p>
    <w:p>
      <w:pPr>
        <w:pStyle w:val="FirstParagraph"/>
      </w:pPr>
      <w:r>
        <w:t xml:space="preserve">This comprehensive Sales Report confirms that our orthodontic practice is well-positioned for continued growth within Australia Melbourne's thriving market. By leveraging data-driven insights on patient preferences, geographic demand patterns, and competitive dynamics, we will maintain leadership in one of Victoria's most competitive healthcare sectors. The 14.7% year-over-year acquisition growth demonstrates strong market acceptance of our service model – a critical achievement for any orthodontist operating in Melbourne Australia.</w:t>
      </w:r>
    </w:p>
    <w:p>
      <w:pPr>
        <w:pStyle w:val="BodyText"/>
      </w:pPr>
      <w:r>
        <w:t xml:space="preserve">Looking ahead to Q4 2023, we project a further 12-15% revenue increase through strategic implementation of these recommendations. The orthodontic market in Melbourne continues to evolve, but our data shows that practices focusing on digital engagement, family-centric service models, and strategic geographic expansion will outperform the industry average. As Australia's most populous city with a growing population of 5.3 million residents (ABS 2023), Melbourne presents unparalleled opportunities for forward-thinking orthodontists who understand local market nuances.</w:t>
      </w:r>
    </w:p>
    <w:p>
      <w:pPr>
        <w:pStyle w:val="BodyText"/>
      </w:pPr>
      <w:r>
        <w:t xml:space="preserve">Prepared by: Melbourne Orthodontic Group Sales Analytics Team</w:t>
      </w:r>
      <w:r>
        <w:br/>
      </w:r>
      <w:r>
        <w:t xml:space="preserve">© 2023 Melbourne Orthodontist Group | All Rights Reserved | Australia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Sales Report: Melbourne Australia Market Analysis</dc:title>
  <dc:creator/>
  <dc:language>en</dc:language>
  <cp:keywords/>
  <dcterms:created xsi:type="dcterms:W3CDTF">2026-07-23T12:54:10Z</dcterms:created>
  <dcterms:modified xsi:type="dcterms:W3CDTF">2026-07-23T12:54:10Z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