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b9eabbefd8e7085fda4bd4480ff07841ef64cea"/>
    <w:p>
      <w:pPr>
        <w:pStyle w:val="Heading1"/>
      </w:pPr>
      <w:r>
        <w:t xml:space="preserve">Comprehensive Sales Report: Orthodontic Practice Performance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orthodontic practice in Dhaka, Bangladesh during the first nine months of 2023. Despite economic headwinds across Bangladesh Dhaka, our practice achieved a 14% year-over-year revenue growth, reaching BDT 8.7 million (USD $95,000). This growth significantly outpaces the national dental market average of 6%. The report identifies key drivers including rising middle-class demand for cosmetic dentistry in urban Dhaka and successful implementation of our digital marketing strategy targeting young professionals across Bangladesh's capital city. Our position as a leading</w:t>
      </w:r>
      <w:r>
        <w:t xml:space="preserve"> </w:t>
      </w:r>
      <w:r>
        <w:rPr>
          <w:bCs/>
          <w:b/>
        </w:rPr>
        <w:t xml:space="preserve">Orthodontist</w:t>
      </w:r>
      <w:r>
        <w:t xml:space="preserve"> </w:t>
      </w:r>
      <w:r>
        <w:t xml:space="preserve">provider in Dhaka continues to strengthen, with patient acquisition costs decreasing by 18% through localized community engagement initiatives.</w:t>
      </w:r>
    </w:p>
    <w:bookmarkEnd w:id="20"/>
    <w:bookmarkStart w:id="21" w:name="X0b97851512bfa0d050ed2f490d30761ff1f15a8"/>
    <w:p>
      <w:pPr>
        <w:pStyle w:val="Heading2"/>
      </w:pPr>
      <w:r>
        <w:t xml:space="preserve">II. Market Context: Orthodontics in Bangladesh Dhaka</w:t>
      </w:r>
    </w:p>
    <w:p>
      <w:pPr>
        <w:pStyle w:val="FirstParagraph"/>
      </w:pPr>
      <w:r>
        <w:t xml:space="preserve">Dhaka's orthodontic market has experienced transformative growth since 2019, driven by three critical factors:</w:t>
      </w:r>
    </w:p>
    <w:p>
      <w:pPr>
        <w:numPr>
          <w:ilvl w:val="0"/>
          <w:numId w:val="1001"/>
        </w:numPr>
        <w:pStyle w:val="Compact"/>
      </w:pPr>
      <w:r>
        <w:rPr>
          <w:bCs/>
          <w:b/>
        </w:rPr>
        <w:t xml:space="preserve">Rising Disposable Income:</w:t>
      </w:r>
      <w:r>
        <w:t xml:space="preserve"> </w:t>
      </w:r>
      <w:r>
        <w:t xml:space="preserve">Dhaka's middle-class population (estimated at 15 million) now allocates 2.3x more discretionary spending on cosmetic dentistry versus five years ago (World Bank, 2023)</w:t>
      </w:r>
    </w:p>
    <w:p>
      <w:pPr>
        <w:numPr>
          <w:ilvl w:val="0"/>
          <w:numId w:val="1001"/>
        </w:numPr>
        <w:pStyle w:val="Compact"/>
      </w:pPr>
      <w:r>
        <w:rPr>
          <w:bCs/>
          <w:b/>
        </w:rPr>
        <w:t xml:space="preserve">Urbanization Pressure:</w:t>
      </w:r>
      <w:r>
        <w:t xml:space="preserve"> </w:t>
      </w:r>
      <w:r>
        <w:t xml:space="preserve">As Bangladesh Dhaka expands at 4.5% annually, dental awareness campaigns targeting university students and corporate professionals have gained traction</w:t>
      </w:r>
    </w:p>
    <w:p>
      <w:pPr>
        <w:numPr>
          <w:ilvl w:val="0"/>
          <w:numId w:val="1001"/>
        </w:numPr>
        <w:pStyle w:val="Compact"/>
      </w:pPr>
      <w:r>
        <w:rPr>
          <w:bCs/>
          <w:b/>
        </w:rPr>
        <w:t xml:space="preserve">Cultural Shift:</w:t>
      </w:r>
      <w:r>
        <w:t xml:space="preserve"> </w:t>
      </w:r>
      <w:r>
        <w:t xml:space="preserve">Orthodontic treatment is transitioning from a luxury to a social necessity among Dhaka's youth, with 76% of patients citing 'confidence in professional settings' as primary motivation (National Dental Survey, Bangladesh 2023)</w:t>
      </w:r>
    </w:p>
    <w:p>
      <w:pPr>
        <w:pStyle w:val="FirstParagraph"/>
      </w:pPr>
      <w:r>
        <w:t xml:space="preserve">This market evolution positions our practice to capture significant share within the Dhaka orthodontic segment, currently valued at BDT 48 million annually and growing at 12% CAGR.</w:t>
      </w:r>
    </w:p>
    <w:bookmarkEnd w:id="21"/>
    <w:bookmarkStart w:id="22" w:name="X871dcf11ea22525c704f71ea2129338ea8217fa"/>
    <w:p>
      <w:pPr>
        <w:pStyle w:val="Heading2"/>
      </w:pPr>
      <w:r>
        <w:t xml:space="preserve">III. Sales Performance Breakdown (Jan-Sep 2023)</w:t>
      </w:r>
    </w:p>
    <w:p>
      <w:pPr>
        <w:pStyle w:val="FirstParagraph"/>
      </w:pPr>
      <w:r>
        <w:t xml:space="preserve">Service Category</w:t>
      </w:r>
    </w:p>
    <w:p>
      <w:pPr>
        <w:pStyle w:val="BodyText"/>
      </w:pPr>
      <w:r>
        <w:t xml:space="preserve">Revenue (BDT)</w:t>
      </w:r>
    </w:p>
    <w:p>
      <w:pPr>
        <w:pStyle w:val="BodyText"/>
      </w:pPr>
      <w:r>
        <w:t xml:space="preserve">% of Total</w:t>
      </w:r>
    </w:p>
    <w:p>
      <w:pPr>
        <w:pStyle w:val="BodyText"/>
      </w:pPr>
      <w:r>
        <w:t xml:space="preserve">YoY Change</w:t>
      </w:r>
    </w:p>
    <w:p>
      <w:pPr>
        <w:pStyle w:val="BodyText"/>
      </w:pPr>
      <w:r>
        <w:t xml:space="preserve">Traditional Metal Braces</w:t>
      </w:r>
    </w:p>
    <w:p>
      <w:pPr>
        <w:pStyle w:val="BodyText"/>
      </w:pPr>
      <w:r>
        <w:t xml:space="preserve">3,200,000</w:t>
      </w:r>
    </w:p>
    <w:p>
      <w:pPr>
        <w:pStyle w:val="BodyText"/>
      </w:pPr>
      <w:r>
        <w:t xml:space="preserve">36.8%</w:t>
      </w:r>
    </w:p>
    <w:p>
      <w:pPr>
        <w:pStyle w:val="BodyText"/>
      </w:pPr>
      <w:r>
        <w:t xml:space="preserve">+9%</w:t>
      </w:r>
    </w:p>
    <w:p>
      <w:pPr>
        <w:pStyle w:val="BodyText"/>
      </w:pPr>
      <w:r>
        <w:t xml:space="preserve">Ceramic Braces (Cosmetic)</w:t>
      </w:r>
    </w:p>
    <w:p>
      <w:pPr>
        <w:pStyle w:val="BodyText"/>
      </w:pPr>
      <w:r>
        <w:t xml:space="preserve">2,150,000</w:t>
      </w:r>
    </w:p>
    <w:p>
      <w:pPr>
        <w:pStyle w:val="BodyText"/>
      </w:pPr>
      <w:r>
        <w:t xml:space="preserve">24.7%</w:t>
      </w:r>
    </w:p>
    <w:p>
      <w:pPr>
        <w:pStyle w:val="BodyText"/>
      </w:pPr>
      <w:r>
        <w:t xml:space="preserve">+38%</w:t>
      </w:r>
    </w:p>
    <w:p>
      <w:pPr>
        <w:pStyle w:val="BodyText"/>
      </w:pPr>
      <w:r>
        <w:t xml:space="preserve">Invisalign &amp; Clear Aligners</w:t>
      </w:r>
    </w:p>
    <w:p>
      <w:pPr>
        <w:pStyle w:val="BodyText"/>
      </w:pPr>
      <w:r>
        <w:t xml:space="preserve">2,565,000</w:t>
      </w:r>
    </w:p>
    <w:p>
      <w:pPr>
        <w:pStyle w:val="BodyText"/>
      </w:pPr>
      <w:r>
        <w:t xml:space="preserve">29.5%</w:t>
      </w:r>
    </w:p>
    <w:p>
      <w:pPr>
        <w:pStyle w:val="BodyText"/>
      </w:pPr>
      <w:r>
        <w:t xml:space="preserve">+62%</w:t>
      </w:r>
    </w:p>
    <w:p>
      <w:pPr>
        <w:pStyle w:val="BodyText"/>
      </w:pPr>
      <w:r>
        <w:t xml:space="preserve">Maintenance/Retainers</w:t>
      </w:r>
    </w:p>
    <w:p>
      <w:pPr>
        <w:pStyle w:val="BodyText"/>
      </w:pPr>
      <w:r>
        <w:t xml:space="preserve">785,000</w:t>
      </w:r>
    </w:p>
    <w:p>
      <w:pPr>
        <w:pStyle w:val="BodyText"/>
      </w:pPr>
      <w:r>
        <w:t xml:space="preserve">9.0%</w:t>
      </w:r>
    </w:p>
    <w:p>
      <w:pPr>
        <w:pStyle w:val="BodyText"/>
      </w:pPr>
      <w:r>
        <w:t xml:space="preserve">+15%</w:t>
      </w:r>
    </w:p>
    <w:p>
      <w:pPr>
        <w:pStyle w:val="BodyText"/>
      </w:pPr>
      <w:r>
        <w:t xml:space="preserve">TOTAL</w:t>
      </w:r>
    </w:p>
    <w:p>
      <w:pPr>
        <w:pStyle w:val="BodyText"/>
      </w:pPr>
      <w:r>
        <w:t xml:space="preserve">8,700,000-</w:t>
      </w:r>
    </w:p>
    <w:p>
      <w:pPr>
        <w:pStyle w:val="BodyText"/>
      </w:pPr>
      <w:r>
        <w:t xml:space="preserve">Key observations from the sales data:</w:t>
      </w:r>
    </w:p>
    <w:p>
      <w:pPr>
        <w:numPr>
          <w:ilvl w:val="0"/>
          <w:numId w:val="1002"/>
        </w:numPr>
        <w:pStyle w:val="Compact"/>
      </w:pPr>
      <w:r>
        <w:t xml:space="preserve">Clear aligners now represent 29.5% of total revenue (up from 18% in Q1 2022), reflecting Dhaka's growing preference for discreet treatment</w:t>
      </w:r>
    </w:p>
    <w:p>
      <w:pPr>
        <w:numPr>
          <w:ilvl w:val="0"/>
          <w:numId w:val="1002"/>
        </w:numPr>
        <w:pStyle w:val="Compact"/>
      </w:pPr>
      <w:r>
        <w:t xml:space="preserve">Ceramic braces growth (+38%) outpaced all categories, driven by demand from university students and corporate women in Bangladesh Dhaka</w:t>
      </w:r>
    </w:p>
    <w:p>
      <w:pPr>
        <w:numPr>
          <w:ilvl w:val="0"/>
          <w:numId w:val="1002"/>
        </w:numPr>
        <w:pStyle w:val="Compact"/>
      </w:pPr>
      <w:r>
        <w:t xml:space="preserve">Referral programs generated 47% of new patients, confirming the importance of community trust for our</w:t>
      </w:r>
      <w:r>
        <w:t xml:space="preserve"> </w:t>
      </w:r>
      <w:r>
        <w:rPr>
          <w:bCs/>
          <w:b/>
        </w:rPr>
        <w:t xml:space="preserve">Orthodontist</w:t>
      </w:r>
      <w:r>
        <w:t xml:space="preserve"> </w:t>
      </w:r>
      <w:r>
        <w:t xml:space="preserve">practice</w:t>
      </w:r>
    </w:p>
    <w:bookmarkEnd w:id="22"/>
    <w:bookmarkStart w:id="23" w:name="X727af972c41c89c0749004e3c8c4f4de4427248"/>
    <w:p>
      <w:pPr>
        <w:pStyle w:val="Heading2"/>
      </w:pPr>
      <w:r>
        <w:t xml:space="preserve">IV. Competitive Landscape Analysis in Dhaka</w:t>
      </w:r>
    </w:p>
    <w:p>
      <w:pPr>
        <w:pStyle w:val="FirstParagraph"/>
      </w:pPr>
      <w:r>
        <w:t xml:space="preserve">Dhaka's orthodontic market features three distinct competitive segments:</w:t>
      </w:r>
    </w:p>
    <w:p>
      <w:pPr>
        <w:pStyle w:val="BodyText"/>
      </w:pPr>
      <w:r>
        <w:t xml:space="preserve">Competitor Type</w:t>
      </w:r>
    </w:p>
    <w:p>
      <w:pPr>
        <w:pStyle w:val="BodyText"/>
      </w:pPr>
      <w:r>
        <w:t xml:space="preserve">Market Share</w:t>
      </w:r>
    </w:p>
    <w:p>
      <w:pPr>
        <w:pStyle w:val="BodyText"/>
      </w:pPr>
      <w:r>
        <w:t xml:space="preserve">Our Differentiation Advantage</w:t>
      </w:r>
    </w:p>
    <w:p>
      <w:pPr>
        <w:pStyle w:val="BodyText"/>
      </w:pPr>
      <w:r>
        <w:t xml:space="preserve">Government Dental Hospitals</w:t>
      </w:r>
    </w:p>
    <w:p>
      <w:pPr>
        <w:pStyle w:val="BodyText"/>
      </w:pPr>
      <w:r>
        <w:t xml:space="preserve">28%</w:t>
      </w:r>
    </w:p>
    <w:p>
      <w:pPr>
        <w:pStyle w:val="BodyText"/>
      </w:pPr>
      <w:r>
        <w:t xml:space="preserve">&lt;</w:t>
      </w:r>
    </w:p>
    <w:p>
      <w:pPr>
        <w:pStyle w:val="BodyText"/>
      </w:pPr>
      <w:r>
        <w:t xml:space="preserve">Serving low-income patients; lacks cosmetic focus. Our premium pricing targets the 45% of Dhaka patients seeking aesthetics.</w:t>
      </w:r>
    </w:p>
    <w:p>
      <w:pPr>
        <w:pStyle w:val="BodyText"/>
      </w:pPr>
      <w:r>
        <w:t xml:space="preserve">Multinational Dental Chains35%</w:t>
      </w:r>
    </w:p>
    <w:p>
      <w:pPr>
        <w:pStyle w:val="BodyText"/>
      </w:pPr>
      <w:r>
        <w:t xml:space="preserve">Offer standardized services but lack local cultural adaptation. We employ Dhaka-trained orthodontists with community roots.</w:t>
      </w:r>
    </w:p>
    <w:p>
      <w:pPr>
        <w:pStyle w:val="BodyText"/>
      </w:pPr>
      <w:r>
        <w:t xml:space="preserve">Private Orthodontic Practices</w:t>
      </w:r>
    </w:p>
    <w:p>
      <w:pPr>
        <w:pStyle w:val="BodyText"/>
      </w:pPr>
      <w:r>
        <w:t xml:space="preserve">21%</w:t>
      </w:r>
    </w:p>
    <w:p>
      <w:pPr>
        <w:pStyle w:val="BodyText"/>
      </w:pPr>
      <w:r>
        <w:t xml:space="preserve">Mixed quality; 68% use outdated marketing. Our AI-powered patient engagement platform increased retention by 31%.</w:t>
      </w:r>
    </w:p>
    <w:bookmarkEnd w:id="23"/>
    <w:bookmarkStart w:id="24" w:name="X79407c4766bc460f8dc01e5adf3220e2aac1f50"/>
    <w:p>
      <w:pPr>
        <w:pStyle w:val="Heading2"/>
      </w:pPr>
      <w:r>
        <w:t xml:space="preserve">V. Challenges Specific to Bangladesh Dhaka Market</w:t>
      </w:r>
    </w:p>
    <w:p>
      <w:pPr>
        <w:pStyle w:val="FirstParagraph"/>
      </w:pPr>
      <w:r>
        <w:t xml:space="preserve">Despite strong growth, we face unique operational challenges in Bangladesh Dhaka:</w:t>
      </w:r>
    </w:p>
    <w:p>
      <w:pPr>
        <w:numPr>
          <w:ilvl w:val="0"/>
          <w:numId w:val="1003"/>
        </w:numPr>
        <w:pStyle w:val="Compact"/>
      </w:pPr>
      <w:r>
        <w:rPr>
          <w:bCs/>
          <w:b/>
        </w:rPr>
        <w:t xml:space="preserve">Import Dependency:</w:t>
      </w:r>
      <w:r>
        <w:t xml:space="preserve"> </w:t>
      </w:r>
      <w:r>
        <w:t xml:space="preserve">90% of clear aligner materials require importation, causing 12-15 day lead times during monsoon season (June-September)</w:t>
      </w:r>
    </w:p>
    <w:p>
      <w:pPr>
        <w:numPr>
          <w:ilvl w:val="0"/>
          <w:numId w:val="1003"/>
        </w:numPr>
        <w:pStyle w:val="Compact"/>
      </w:pPr>
      <w:r>
        <w:rPr>
          <w:bCs/>
          <w:b/>
        </w:rPr>
        <w:t xml:space="preserve">Cultural Perceptions:</w:t>
      </w:r>
      <w:r>
        <w:t xml:space="preserve"> </w:t>
      </w:r>
      <w:r>
        <w:t xml:space="preserve">Initial resistance from older Dhaka generations viewing orthodontics as "unnecessary," requiring extensive educational campaigns</w:t>
      </w:r>
    </w:p>
    <w:p>
      <w:pPr>
        <w:numPr>
          <w:ilvl w:val="0"/>
          <w:numId w:val="1003"/>
        </w:numPr>
        <w:pStyle w:val="Compact"/>
      </w:pPr>
      <w:r>
        <w:rPr>
          <w:bCs/>
          <w:b/>
        </w:rPr>
        <w:t xml:space="preserve">Payment Accessibility:</w:t>
      </w:r>
      <w:r>
        <w:t xml:space="preserve"> </w:t>
      </w:r>
      <w:r>
        <w:t xml:space="preserve">Only 32% of Dhaka households have access to dental insurance; we've implemented interest-free installment plans for 65% of patients</w:t>
      </w:r>
    </w:p>
    <w:bookmarkEnd w:id="24"/>
    <w:bookmarkStart w:id="25" w:name="X0b3fdcc8330ccdab89f631bc7e8ff503397ba34"/>
    <w:p>
      <w:pPr>
        <w:pStyle w:val="Heading2"/>
      </w:pPr>
      <w:r>
        <w:t xml:space="preserve">VI. Strategic Recommendations for Growth in Dhaka, Bangladesh</w:t>
      </w:r>
    </w:p>
    <w:p>
      <w:pPr>
        <w:pStyle w:val="FirstParagraph"/>
      </w:pPr>
      <w:r>
        <w:t xml:space="preserve">Based on the Sales Report analysis, we propose these targeted initiatives:</w:t>
      </w:r>
    </w:p>
    <w:p>
      <w:pPr>
        <w:numPr>
          <w:ilvl w:val="0"/>
          <w:numId w:val="1004"/>
        </w:numPr>
        <w:pStyle w:val="Compact"/>
      </w:pPr>
      <w:r>
        <w:rPr>
          <w:bCs/>
          <w:b/>
        </w:rPr>
        <w:t xml:space="preserve">Local Material Sourcing:</w:t>
      </w:r>
      <w:r>
        <w:t xml:space="preserve"> </w:t>
      </w:r>
      <w:r>
        <w:t xml:space="preserve">Partner with Bangladesh Science and Technology University to develop locally manufactured ceramic brackets by Q3 2024 (projected 18% cost reduction)</w:t>
      </w:r>
    </w:p>
    <w:p>
      <w:pPr>
        <w:numPr>
          <w:ilvl w:val="0"/>
          <w:numId w:val="1004"/>
        </w:numPr>
        <w:pStyle w:val="Compact"/>
      </w:pPr>
      <w:r>
        <w:rPr>
          <w:bCs/>
          <w:b/>
        </w:rPr>
        <w:t xml:space="preserve">Dhaka University Outreach Program:</w:t>
      </w:r>
      <w:r>
        <w:t xml:space="preserve"> </w:t>
      </w:r>
      <w:r>
        <w:t xml:space="preserve">Establish free orthodontic workshops at DU, BUET, and NSU to capture student market (35% of our new patients are students)</w:t>
      </w:r>
    </w:p>
    <w:p>
      <w:pPr>
        <w:numPr>
          <w:ilvl w:val="0"/>
          <w:numId w:val="1004"/>
        </w:numPr>
        <w:pStyle w:val="Compact"/>
      </w:pPr>
      <w:r>
        <w:rPr>
          <w:bCs/>
          <w:b/>
        </w:rPr>
        <w:t xml:space="preserve">Tele-Orthodontics Expansion:</w:t>
      </w:r>
      <w:r>
        <w:t xml:space="preserve"> </w:t>
      </w:r>
      <w:r>
        <w:t xml:space="preserve">Launch virtual consultations for Dhaka satellite areas (Gulshan, Banani) to serve 120+ additional patients quarterly</w:t>
      </w:r>
    </w:p>
    <w:p>
      <w:pPr>
        <w:numPr>
          <w:ilvl w:val="0"/>
          <w:numId w:val="1004"/>
        </w:numPr>
        <w:pStyle w:val="Compact"/>
      </w:pPr>
      <w:r>
        <w:rPr>
          <w:bCs/>
          <w:b/>
        </w:rPr>
        <w:t xml:space="preserve">Cultural Marketing Campaign:</w:t>
      </w:r>
      <w:r>
        <w:t xml:space="preserve"> </w:t>
      </w:r>
      <w:r>
        <w:t xml:space="preserve">Develop "Confidence in Dhaka" campaign featuring local celebrities and influencers addressing cosmetic dentistry stigma</w:t>
      </w:r>
    </w:p>
    <w:bookmarkEnd w:id="25"/>
    <w:bookmarkStart w:id="27" w:name="X67759b7bf0640e9d5605ffb00fb0fa67e323582"/>
    <w:p>
      <w:pPr>
        <w:pStyle w:val="Heading2"/>
      </w:pPr>
      <w:r>
        <w:t xml:space="preserve">VII. Conclusion: Future Outlook for Orthodontist Practice in Bangladesh Dhaka</w:t>
      </w:r>
    </w:p>
    <w:p>
      <w:pPr>
        <w:pStyle w:val="FirstParagraph"/>
      </w:pPr>
      <w:r>
        <w:t xml:space="preserve">The orthodontic market in Bangladesh Dhaka is poised for sustained growth, with our practice positioned as a leader through strategic differentiation. The current Sales Report demonstrates that patient demand is not merely growing but evolving toward premium, discreet treatments aligned with Dhaka's modern lifestyle. By addressing localized challenges through community-focused solutions and investing in culturally attuned marketing, our</w:t>
      </w:r>
      <w:r>
        <w:t xml:space="preserve"> </w:t>
      </w:r>
      <w:r>
        <w:rPr>
          <w:bCs/>
          <w:b/>
        </w:rPr>
        <w:t xml:space="preserve">Orthodontist</w:t>
      </w:r>
      <w:r>
        <w:t xml:space="preserve"> </w:t>
      </w:r>
      <w:r>
        <w:t xml:space="preserve">practice will capture an estimated 35% market share by 2025—significantly higher than the current 18%. As Bangladesh continues its urban transformation, Dhaka's orthodontic sector will evolve from a niche service to a mainstream health necessity. Our success hinges on maintaining this localized approach: understanding that "Dhaka" is not just a location but a distinct cultural and economic ecosystem demanding specific solutions for our</w:t>
      </w:r>
      <w:r>
        <w:t xml:space="preserve"> </w:t>
      </w:r>
      <w:r>
        <w:rPr>
          <w:bCs/>
          <w:b/>
        </w:rPr>
        <w:t xml:space="preserve">Orthodontist</w:t>
      </w:r>
      <w:r>
        <w:t xml:space="preserve"> </w:t>
      </w:r>
      <w:r>
        <w:t xml:space="preserve">practice.</w:t>
      </w:r>
    </w:p>
    <w:p>
      <w:pPr>
        <w:pStyle w:val="BodyText"/>
      </w:pPr>
      <w:r>
        <w:rPr>
          <w:iCs/>
          <w:i/>
        </w:rPr>
        <w:t xml:space="preserve">Prepared with market-specific insights for Bangladesh Dhaka by the Orthodontic Sales Intelligence Team</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Bangladesh Dhaka Market Analysis</dc:title>
  <dc:creator/>
  <dc:language>en</dc:language>
  <cp:keywords/>
  <dcterms:created xsi:type="dcterms:W3CDTF">2026-07-24T12:12:56Z</dcterms:created>
  <dcterms:modified xsi:type="dcterms:W3CDTF">2026-07-24T12:12:56Z</dcterms:modified>
</cp:coreProperties>
</file>

<file path=docProps/custom.xml><?xml version="1.0" encoding="utf-8"?>
<Properties xmlns="http://schemas.openxmlformats.org/officeDocument/2006/custom-properties" xmlns:vt="http://schemas.openxmlformats.org/officeDocument/2006/docPropsVTypes"/>
</file>