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Brasília</w:t>
      </w:r>
      <w:r>
        <w:t xml:space="preserve"> </w:t>
      </w:r>
      <w:r>
        <w:t xml:space="preserve">Market</w:t>
      </w:r>
      <w:r>
        <w:t xml:space="preserve"> </w:t>
      </w:r>
      <w:r>
        <w:t xml:space="preserve">-</w:t>
      </w:r>
      <w:r>
        <w:t xml:space="preserve"> </w:t>
      </w:r>
      <w:r>
        <w:t xml:space="preserve">Q3</w:t>
      </w:r>
      <w:r>
        <w:t xml:space="preserve"> </w:t>
      </w:r>
      <w:r>
        <w:t xml:space="preserve">2023</w:t>
      </w:r>
    </w:p>
    <w:bookmarkStart w:id="27" w:name="Xfbcea478d58ab0e8e92dbee00682ab3fedd7b56"/>
    <w:p>
      <w:pPr>
        <w:pStyle w:val="Heading1"/>
      </w:pPr>
      <w:r>
        <w:t xml:space="preserve">Orthodontic Sales Performance Report: Brazília Market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Brasília Orthodontic Network</w:t>
      </w:r>
    </w:p>
    <w:bookmarkStart w:id="20" w:name="i.-executive-summary"/>
    <w:p>
      <w:pPr>
        <w:pStyle w:val="Heading2"/>
      </w:pPr>
      <w:r>
        <w:t xml:space="preserve">I. Executive Summary</w:t>
      </w:r>
    </w:p>
    <w:p>
      <w:pPr>
        <w:pStyle w:val="FirstParagraph"/>
      </w:pPr>
      <w:r>
        <w:t xml:space="preserve">This comprehensive Sales Report details the performance of our orthodontic practice network across the Federal District of Brazil, with a strategic focus on Brazília. The third quarter (July-September 2023) demonstrated robust growth, driven by increased patient acquisition in premium treatment segments and strong market positioning within the competitive Brasília healthcare landscape. Total revenue reached R$ 1,850,400 (approximately USD $367,000), representing a 14.2% year-over-year increase and exceeding Q3 targets by 8.5%. This report confirms the Orthodontist practice's leadership position in Brasília's private dental care sector and outlines key opportunities for sustained growth in this critical Brazilian market.</w:t>
      </w:r>
    </w:p>
    <w:bookmarkEnd w:id="20"/>
    <w:bookmarkStart w:id="21" w:name="X2024d0088d33aadd43ddcefbb62fe2c2e706a2f"/>
    <w:p>
      <w:pPr>
        <w:pStyle w:val="Heading2"/>
      </w:pPr>
      <w:r>
        <w:t xml:space="preserve">II. Market Context: Brazil &amp; Brasília Specifics</w:t>
      </w:r>
    </w:p>
    <w:p>
      <w:pPr>
        <w:pStyle w:val="FirstParagraph"/>
      </w:pPr>
      <w:r>
        <w:t xml:space="preserve">Brazil's orthodontic market is experiencing significant expansion, with an estimated 4.5% annual growth rate (Fenabre-Brasil, 2023). In Brazília, the capital city and federal district (population ~3 million), the demand is particularly pronounced due to high disposable income levels among government professionals, corporate executives, and international residents. The market is highly competitive but shows strong preference for practices offering personalized care and advanced technology – a core differentiator for our Orthodontist network. Unlike many Brazilian cities where public healthcare (SUS) dominates, Brasília's private orthodontic sector serves a distinct demographic seeking premium services, making it an ideal location for high-value treatment offerings.</w:t>
      </w:r>
    </w:p>
    <w:bookmarkEnd w:id="21"/>
    <w:bookmarkStart w:id="23" w:name="iii.-q3-2023-sales-performance-breakdown"/>
    <w:p>
      <w:pPr>
        <w:pStyle w:val="Heading2"/>
      </w:pPr>
      <w:r>
        <w:t xml:space="preserve">III. 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Treatment Segment</w:t>
            </w:r>
          </w:p>
        </w:tc>
        <w:tc>
          <w:tcPr/>
          <w:p>
            <w:pPr>
              <w:pStyle w:val="Compact"/>
              <w:jc w:val="left"/>
            </w:pPr>
            <w:r>
              <w:t xml:space="preserve">% of Total Revenue</w:t>
            </w:r>
          </w:p>
        </w:tc>
        <w:tc>
          <w:tcPr/>
          <w:p>
            <w:pPr>
              <w:pStyle w:val="Compact"/>
              <w:jc w:val="left"/>
            </w:pPr>
            <w:r>
              <w:t xml:space="preserve">QoQ Change</w:t>
            </w:r>
          </w:p>
        </w:tc>
        <w:tc>
          <w:tcPr/>
          <w:p>
            <w:pPr>
              <w:pStyle w:val="Compact"/>
              <w:jc w:val="left"/>
            </w:pPr>
            <w:r>
              <w:t xml:space="preserve">Key Driver in Brasília Market</w:t>
            </w:r>
          </w:p>
        </w:tc>
      </w:tr>
      <w:tr>
        <w:tc>
          <w:tcPr/>
          <w:p>
            <w:pPr>
              <w:pStyle w:val="Compact"/>
              <w:jc w:val="left"/>
            </w:pPr>
            <w:r>
              <w:t xml:space="preserve">Invisible Aligners (e.g., Invisalign)</w:t>
            </w:r>
          </w:p>
        </w:tc>
        <w:tc>
          <w:tcPr/>
          <w:p>
            <w:pPr>
              <w:pStyle w:val="Compact"/>
              <w:jc w:val="left"/>
            </w:pPr>
            <w:r>
              <w:t xml:space="preserve">42%</w:t>
            </w:r>
          </w:p>
        </w:tc>
        <w:tc>
          <w:tcPr/>
          <w:p>
            <w:pPr>
              <w:pStyle w:val="Compact"/>
              <w:jc w:val="left"/>
            </w:pPr>
            <w:r>
              <w:t xml:space="preserve">+18.7% (+5.2 pts)</w:t>
            </w:r>
          </w:p>
        </w:tc>
        <w:tc>
          <w:tcPr/>
          <w:p>
            <w:pPr>
              <w:pStyle w:val="Compact"/>
              <w:jc w:val="left"/>
            </w:pPr>
            <w:r>
              <w:t xml:space="preserve">Strong preference among professionals &amp; younger demographics in Brasília; effective marketing campaigns targeting corporate partners</w:t>
            </w:r>
          </w:p>
        </w:tc>
      </w:tr>
      <w:tr>
        <w:tc>
          <w:tcPr/>
          <w:p>
            <w:pPr>
              <w:pStyle w:val="Compact"/>
              <w:jc w:val="left"/>
            </w:pPr>
            <w:r>
              <w:t xml:space="preserve">Traditional Metal Braces</w:t>
            </w:r>
          </w:p>
        </w:tc>
        <w:tc>
          <w:tcPr/>
          <w:p>
            <w:pPr>
              <w:pStyle w:val="Compact"/>
              <w:jc w:val="left"/>
            </w:pPr>
            <w:r>
              <w:t xml:space="preserve">35%</w:t>
            </w:r>
          </w:p>
        </w:tc>
        <w:tc>
          <w:tcPr/>
          <w:p>
            <w:pPr>
              <w:pStyle w:val="Compact"/>
              <w:jc w:val="left"/>
            </w:pPr>
            <w:r>
              <w:t xml:space="preserve">-2.1% (-0.8 pts)</w:t>
            </w:r>
          </w:p>
        </w:tc>
        <w:tc>
          <w:tcPr/>
          <w:p>
            <w:pPr>
              <w:pStyle w:val="Compact"/>
              <w:jc w:val="left"/>
            </w:pPr>
            <w:r>
              <w:t xml:space="preserve">Stable demand, but gradual shift towards aesthetic options; maintained through family packages</w:t>
            </w:r>
          </w:p>
        </w:tc>
      </w:tr>
      <w:tr>
        <w:tc>
          <w:tcPr/>
          <w:p>
            <w:pPr>
              <w:pStyle w:val="Compact"/>
              <w:jc w:val="left"/>
            </w:pPr>
            <w:r>
              <w:t xml:space="preserve">Clear Ceramic Braces</w:t>
            </w:r>
          </w:p>
        </w:tc>
        <w:tc>
          <w:tcPr/>
          <w:p>
            <w:pPr>
              <w:pStyle w:val="Compact"/>
              <w:jc w:val="left"/>
            </w:pPr>
            <w:r>
              <w:t xml:space="preserve">15%</w:t>
            </w:r>
          </w:p>
        </w:tc>
        <w:tc>
          <w:tcPr/>
          <w:p>
            <w:pPr>
              <w:pStyle w:val="Compact"/>
              <w:jc w:val="left"/>
            </w:pPr>
            <w:r>
              <w:t xml:space="preserve">+9.3% (+1.4 pts)</w:t>
            </w:r>
          </w:p>
        </w:tc>
        <w:tc>
          <w:tcPr/>
          <w:p>
            <w:pPr>
              <w:pStyle w:val="Compact"/>
              <w:jc w:val="left"/>
            </w:pPr>
            <w:r>
              <w:t xml:space="preserve">High uptake among adult patients in Brasília seeking discreet solutions; strategic pricing alignment with local income levels</w:t>
            </w:r>
          </w:p>
        </w:tc>
      </w:tr>
      <w:tr>
        <w:tc>
          <w:tcPr/>
          <w:p>
            <w:pPr>
              <w:pStyle w:val="Compact"/>
              <w:jc w:val="left"/>
            </w:pPr>
            <w:r>
              <w:t xml:space="preserve">Surgical Orthodontics &amp; Special Cases</w:t>
            </w:r>
          </w:p>
        </w:tc>
        <w:tc>
          <w:tcPr/>
          <w:p>
            <w:pPr>
              <w:pStyle w:val="Compact"/>
              <w:jc w:val="left"/>
            </w:pPr>
            <w:r>
              <w:t xml:space="preserve">8%</w:t>
            </w:r>
          </w:p>
        </w:tc>
        <w:tc>
          <w:tcPr/>
          <w:p>
            <w:pPr>
              <w:pStyle w:val="Compact"/>
              <w:jc w:val="left"/>
            </w:pPr>
            <w:r>
              <w:t xml:space="preserve">+12.4% (+2.6 pts)</w:t>
            </w:r>
          </w:p>
        </w:tc>
        <w:tc>
          <w:tcPr/>
          <w:p>
            <w:pPr>
              <w:pStyle w:val="Compact"/>
              <w:jc w:val="left"/>
            </w:pPr>
            <w:r>
              <w:t xml:space="preserve">Increased referrals from maxillofacial surgeons in Brasília's specialized hospitals; premium service positioning</w:t>
            </w:r>
          </w:p>
        </w:tc>
      </w:tr>
    </w:tbl>
    <w:bookmarkStart w:id="22" w:name="key-q3-metrics"/>
    <w:p>
      <w:pPr>
        <w:pStyle w:val="Heading3"/>
      </w:pPr>
      <w:r>
        <w:t xml:space="preserve">Key Q3 Metrics:</w:t>
      </w:r>
    </w:p>
    <w:p>
      <w:pPr>
        <w:numPr>
          <w:ilvl w:val="0"/>
          <w:numId w:val="1001"/>
        </w:numPr>
        <w:pStyle w:val="Compact"/>
      </w:pPr>
      <w:r>
        <w:rPr>
          <w:bCs/>
          <w:b/>
        </w:rPr>
        <w:t xml:space="preserve">New Patient Acquisition:</w:t>
      </w:r>
      <w:r>
        <w:t xml:space="preserve"> </w:t>
      </w:r>
      <w:r>
        <w:t xml:space="preserve">247 patients (18.5% above target), with 65% from referrals within Brazília's professional networks.</w:t>
      </w:r>
    </w:p>
    <w:p>
      <w:pPr>
        <w:numPr>
          <w:ilvl w:val="0"/>
          <w:numId w:val="1001"/>
        </w:numPr>
        <w:pStyle w:val="Compact"/>
      </w:pPr>
      <w:r>
        <w:rPr>
          <w:bCs/>
          <w:b/>
        </w:rPr>
        <w:t xml:space="preserve">Average Treatment Value per Patient:</w:t>
      </w:r>
      <w:r>
        <w:t xml:space="preserve"> </w:t>
      </w:r>
      <w:r>
        <w:t xml:space="preserve">R$ 7,500 (up 6.1% YoY), reflecting higher adoption of premium aligner treatments in the Brasília market.</w:t>
      </w:r>
    </w:p>
    <w:p>
      <w:pPr>
        <w:numPr>
          <w:ilvl w:val="0"/>
          <w:numId w:val="1001"/>
        </w:numPr>
        <w:pStyle w:val="Compact"/>
      </w:pPr>
      <w:r>
        <w:rPr>
          <w:bCs/>
          <w:b/>
        </w:rPr>
        <w:t xml:space="preserve">Patient Retention Rate:</w:t>
      </w:r>
      <w:r>
        <w:t xml:space="preserve"> </w:t>
      </w:r>
      <w:r>
        <w:t xml:space="preserve">89% (exceeding national average of 82%), driven by our integrated patient management system tailored for the Brazilian context.</w:t>
      </w:r>
    </w:p>
    <w:p>
      <w:pPr>
        <w:numPr>
          <w:ilvl w:val="0"/>
          <w:numId w:val="1001"/>
        </w:numPr>
        <w:pStyle w:val="Compact"/>
      </w:pPr>
      <w:r>
        <w:rPr>
          <w:bCs/>
          <w:b/>
        </w:rPr>
        <w:t xml:space="preserve">Geographic Focus:</w:t>
      </w:r>
      <w:r>
        <w:t xml:space="preserve"> </w:t>
      </w:r>
      <w:r>
        <w:t xml:space="preserve">72% of new patients came from Brasília's affluent districts (Lago Norte, Asa Sul, Planaltina), underscoring local market strength.</w:t>
      </w:r>
    </w:p>
    <w:bookmarkEnd w:id="22"/>
    <w:bookmarkEnd w:id="23"/>
    <w:bookmarkStart w:id="24" w:name="X18599072c09b421f0eca3bdb1fd06fd8314fca4"/>
    <w:p>
      <w:pPr>
        <w:pStyle w:val="Heading2"/>
      </w:pPr>
      <w:r>
        <w:t xml:space="preserve">IV. Competitive Landscape Analysis: Orthodontist in Brasília</w:t>
      </w:r>
    </w:p>
    <w:p>
      <w:pPr>
        <w:pStyle w:val="FirstParagraph"/>
      </w:pPr>
      <w:r>
        <w:t xml:space="preserve">The orthodontic scene in Brazília is characterized by approximately 180 private practices. Our network maintains a distinct competitive edge due to three factors critical to the local market:</w:t>
      </w:r>
    </w:p>
    <w:p>
      <w:pPr>
        <w:numPr>
          <w:ilvl w:val="0"/>
          <w:numId w:val="1002"/>
        </w:numPr>
        <w:pStyle w:val="Compact"/>
      </w:pPr>
      <w:r>
        <w:rPr>
          <w:bCs/>
          <w:b/>
        </w:rPr>
        <w:t xml:space="preserve">Technology Integration:</w:t>
      </w:r>
      <w:r>
        <w:t xml:space="preserve"> </w:t>
      </w:r>
      <w:r>
        <w:t xml:space="preserve">We offer the most advanced digital scanning and treatment planning systems available in Brasília, directly addressing patient concerns about process efficiency and aesthetics.</w:t>
      </w:r>
    </w:p>
    <w:p>
      <w:pPr>
        <w:numPr>
          <w:ilvl w:val="0"/>
          <w:numId w:val="1002"/>
        </w:numPr>
        <w:pStyle w:val="Compact"/>
      </w:pPr>
      <w:r>
        <w:rPr>
          <w:bCs/>
          <w:b/>
        </w:rPr>
        <w:t xml:space="preserve">Cultural Adaptation:</w:t>
      </w:r>
      <w:r>
        <w:t xml:space="preserve"> </w:t>
      </w:r>
      <w:r>
        <w:t xml:space="preserve">Our staff (all fluent in Portuguese) understands Brazilian healthcare nuances, including navigating private insurance partnerships (e.g., Unimed, Amil) prevalent in the Brasília corporate sector.</w:t>
      </w:r>
    </w:p>
    <w:p>
      <w:pPr>
        <w:numPr>
          <w:ilvl w:val="0"/>
          <w:numId w:val="1002"/>
        </w:numPr>
        <w:pStyle w:val="Compact"/>
      </w:pPr>
      <w:r>
        <w:rPr>
          <w:bCs/>
          <w:b/>
        </w:rPr>
        <w:t xml:space="preserve">Strategic Location:</w:t>
      </w:r>
      <w:r>
        <w:t xml:space="preserve"> </w:t>
      </w:r>
      <w:r>
        <w:t xml:space="preserve">All three Brasília practice locations are within 5km of key government and business hubs (Esplanada dos Ministérios, Park Shopping), maximizing accessibility for our target demographic.</w:t>
      </w:r>
    </w:p>
    <w:bookmarkEnd w:id="24"/>
    <w:bookmarkStart w:id="25" w:name="X5f89e5c2b879e56fc6f4b6ef27148d52343700d"/>
    <w:p>
      <w:pPr>
        <w:pStyle w:val="Heading2"/>
      </w:pPr>
      <w:r>
        <w:t xml:space="preserve">V. Challenges &amp; Strategic Recommendations for Brazil</w:t>
      </w:r>
    </w:p>
    <w:p>
      <w:pPr>
        <w:pStyle w:val="FirstParagraph"/>
      </w:pPr>
      <w:r>
        <w:t xml:space="preserve">Despite strong performance, challenges persist in the Brazilian market:</w:t>
      </w:r>
    </w:p>
    <w:p>
      <w:pPr>
        <w:numPr>
          <w:ilvl w:val="0"/>
          <w:numId w:val="1003"/>
        </w:numPr>
        <w:pStyle w:val="Compact"/>
      </w:pPr>
      <w:r>
        <w:rPr>
          <w:bCs/>
          <w:b/>
        </w:rPr>
        <w:t xml:space="preserve">Economic Volatility:</w:t>
      </w:r>
      <w:r>
        <w:t xml:space="preserve"> </w:t>
      </w:r>
      <w:r>
        <w:t xml:space="preserve">Inflation impacts patient financing flexibility. *Recommendation:* Expand our "Brasília Orthodontic Plan" with 12-month zero-interest payment options, a proven driver for increased conversions in Brazil's current climate.</w:t>
      </w:r>
    </w:p>
    <w:p>
      <w:pPr>
        <w:numPr>
          <w:ilvl w:val="0"/>
          <w:numId w:val="1003"/>
        </w:numPr>
        <w:pStyle w:val="Compact"/>
      </w:pPr>
      <w:r>
        <w:rPr>
          <w:bCs/>
          <w:b/>
        </w:rPr>
        <w:t xml:space="preserve">Competition Intensification:</w:t>
      </w:r>
      <w:r>
        <w:t xml:space="preserve"> </w:t>
      </w:r>
      <w:r>
        <w:t xml:space="preserve">New entrants offering lower-priced metal braces targeting budget-conscious patients. *Recommendation:* Launch a targeted "Premium Brasília Experience" marketing campaign emphasizing value (quality, technology, comfort) over price alone.</w:t>
      </w:r>
    </w:p>
    <w:p>
      <w:pPr>
        <w:numPr>
          <w:ilvl w:val="0"/>
          <w:numId w:val="1003"/>
        </w:numPr>
        <w:pStyle w:val="Compact"/>
      </w:pPr>
      <w:r>
        <w:rPr>
          <w:bCs/>
          <w:b/>
        </w:rPr>
        <w:t xml:space="preserve">Digital Engagement Gap:</w:t>
      </w:r>
      <w:r>
        <w:t xml:space="preserve"> </w:t>
      </w:r>
      <w:r>
        <w:t xml:space="preserve">Lower online engagement compared to São Paulo markets. *Recommendation:* Partner with local Brazilian influencers (health &amp; lifestyle) in Brazília for authentic social media campaigns, focusing on real patient journeys within the city.</w:t>
      </w:r>
    </w:p>
    <w:bookmarkEnd w:id="25"/>
    <w:bookmarkStart w:id="26" w:name="X156ecba82d7874eb8d9d07072525f268b990033"/>
    <w:p>
      <w:pPr>
        <w:pStyle w:val="Heading2"/>
      </w:pPr>
      <w:r>
        <w:t xml:space="preserve">VI. Conclusion: Positioning Orthodontist for Future Growth in Brasília</w:t>
      </w:r>
    </w:p>
    <w:p>
      <w:pPr>
        <w:pStyle w:val="FirstParagraph"/>
      </w:pPr>
      <w:r>
        <w:t xml:space="preserve">This Sales Report unequivocally demonstrates the viability and strong growth trajectory of our Orthodontist practice within the unique context of Brazil's capital, Brazília. The quarter's performance is not merely a result of market trends but stems from our strategic focus on high-value treatments, cultural intelligence in service delivery, and deep community integration in Brasília. As we move into Q4 2023 and beyond, the Brazilian market outlook remains positive. Our competitive positioning as the premier Orthodontist network in Brazília – offering cutting-edge solutions tailored to the city's affluent demographic – is a key asset for sustained revenue growth.</w:t>
      </w:r>
    </w:p>
    <w:p>
      <w:pPr>
        <w:pStyle w:val="BodyText"/>
      </w:pPr>
      <w:r>
        <w:t xml:space="preserve">Specifically for Brasília, we recommend prioritizing expansion into underserved neighborhoods like Taguatinga and Ceilândia (within 15km of current locations) to capture growing middle-income segments without diluting our premium brand. This strategic move aligns with Brazil's urban development patterns while securing long-term market share in the city that defines our national presence.</w:t>
      </w:r>
    </w:p>
    <w:p>
      <w:pPr>
        <w:pStyle w:val="BodyText"/>
      </w:pPr>
      <w:r>
        <w:rPr>
          <w:bCs/>
          <w:b/>
        </w:rPr>
        <w:t xml:space="preserve">Prepared By:</w:t>
      </w:r>
      <w:r>
        <w:t xml:space="preserve"> </w:t>
      </w:r>
      <w:r>
        <w:t xml:space="preserve">Sales &amp; Strategy Division, Brasília Orthodontic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Brasília Market - Q3 2023</dc:title>
  <dc:creator/>
  <dc:language>en</dc:language>
  <cp:keywords/>
  <dcterms:created xsi:type="dcterms:W3CDTF">2026-07-24T03:51:03Z</dcterms:created>
  <dcterms:modified xsi:type="dcterms:W3CDTF">2026-07-24T03:51:03Z</dcterms:modified>
</cp:coreProperties>
</file>

<file path=docProps/custom.xml><?xml version="1.0" encoding="utf-8"?>
<Properties xmlns="http://schemas.openxmlformats.org/officeDocument/2006/custom-properties" xmlns:vt="http://schemas.openxmlformats.org/officeDocument/2006/docPropsVTypes"/>
</file>