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Practice</w:t>
      </w:r>
      <w:r>
        <w:t xml:space="preserve"> </w:t>
      </w:r>
      <w:r>
        <w:t xml:space="preserve">Performance</w:t>
      </w:r>
      <w:r>
        <w:t xml:space="preserve"> </w:t>
      </w:r>
      <w:r>
        <w:t xml:space="preserve">-</w:t>
      </w:r>
      <w:r>
        <w:t xml:space="preserve"> </w:t>
      </w:r>
      <w:r>
        <w:t xml:space="preserve">Brazil</w:t>
      </w:r>
      <w:r>
        <w:t xml:space="preserve"> </w:t>
      </w:r>
      <w:r>
        <w:t xml:space="preserve">São</w:t>
      </w:r>
      <w:r>
        <w:t xml:space="preserve"> </w:t>
      </w:r>
      <w:r>
        <w:t xml:space="preserve">Paulo</w:t>
      </w:r>
    </w:p>
    <w:bookmarkStart w:id="28" w:name="Xdada9bb110f07d9af3c109ed1cfd08cc72997c5"/>
    <w:p>
      <w:pPr>
        <w:pStyle w:val="Heading1"/>
      </w:pPr>
      <w:r>
        <w:t xml:space="preserve">Comprehensive Sales Report: Orthodontic Practice Performance Analysis for Brazil São Paulo Market</w:t>
      </w:r>
    </w:p>
    <w:bookmarkStart w:id="20" w:name="executive-summary"/>
    <w:p>
      <w:pPr>
        <w:pStyle w:val="Heading2"/>
      </w:pPr>
      <w:r>
        <w:t xml:space="preserve">Executive Summary</w:t>
      </w:r>
    </w:p>
    <w:p>
      <w:pPr>
        <w:pStyle w:val="FirstParagraph"/>
      </w:pPr>
      <w:r>
        <w:t xml:space="preserve">This Sales Report provides a detailed analysis of the operational and financial performance of our orthodontic practice in Brazil São Paulo during the fiscal period ending December 31, 2023. As one of the leading Orthodontist practices in São Paulo's competitive healthcare landscape, we have achieved significant growth metrics while navigating unique market dynamics specific to Brazil's dental industry. The report demonstrates how strategic positioning as a premium Orthodontist provider has driven exceptional results in Brazil São Paulo, with a 28% year-over-year increase in patient acquisition and 35% revenue growth despite regional economic fluctuations.</w:t>
      </w:r>
    </w:p>
    <w:bookmarkEnd w:id="20"/>
    <w:bookmarkStart w:id="21" w:name="X2d1d901c9a369154674c374031e61366877d5a0"/>
    <w:p>
      <w:pPr>
        <w:pStyle w:val="Heading2"/>
      </w:pPr>
      <w:r>
        <w:t xml:space="preserve">Market Context: Orthodontic Industry in Brazil São Paulo</w:t>
      </w:r>
    </w:p>
    <w:p>
      <w:pPr>
        <w:pStyle w:val="FirstParagraph"/>
      </w:pPr>
      <w:r>
        <w:t xml:space="preserve">The orthodontic market in Brazil São Paulo represents one of the most dynamic segments within Latin America's dental healthcare sector. With São Paulo's population exceeding 12 million residents and a growing middle class prioritizing cosmetic dentistry, our Orthodontist practice has strategically positioned itself at the forefront of this demand surge. Recent industry data indicates that orthodontic services in Brazil São Paulo are expanding at 14% annually (Brazil Dental Association, 2023), driven by increased insurance coverage and heightened aesthetic awareness among urban populations.</w:t>
      </w:r>
    </w:p>
    <w:p>
      <w:pPr>
        <w:pStyle w:val="BodyText"/>
      </w:pPr>
      <w:r>
        <w:t xml:space="preserve">Notably, our Sales Report identifies a critical differentiator: São Paulo patients increasingly seek practices offering digital treatment planning (like Invisalign) combined with culturally sensitive patient care. This trend has directly contributed to our 42% higher conversion rate compared to regional competitors in Brazil São Paulo, as evidenced by patient satisfaction surveys conducted quarterly.</w:t>
      </w:r>
    </w:p>
    <w:bookmarkEnd w:id="21"/>
    <w:bookmarkStart w:id="22" w:name="key-performance-metrics-q4-2023"/>
    <w:p>
      <w:pPr>
        <w:pStyle w:val="Heading2"/>
      </w:pPr>
      <w:r>
        <w:t xml:space="preserve">Key Performance Metrics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Q4 2023</w:t>
            </w:r>
          </w:p>
        </w:tc>
        <w:tc>
          <w:tcPr/>
          <w:p>
            <w:pPr>
              <w:pStyle w:val="Compact"/>
              <w:jc w:val="left"/>
            </w:pPr>
            <w:r>
              <w:t xml:space="preserve">Q4 2022</w:t>
            </w:r>
          </w:p>
        </w:tc>
        <w:tc>
          <w:tcPr/>
          <w:p>
            <w:pPr>
              <w:pStyle w:val="Compact"/>
              <w:jc w:val="left"/>
            </w:pPr>
            <w:r>
              <w:t xml:space="preserve">YoY Change</w:t>
            </w:r>
          </w:p>
        </w:tc>
      </w:tr>
      <w:tr>
        <w:tc>
          <w:tcPr/>
          <w:p>
            <w:pPr>
              <w:pStyle w:val="Compact"/>
              <w:jc w:val="left"/>
            </w:pPr>
            <w:r>
              <w:t xml:space="preserve">Total New Patient Acquisitions (Brazil São Paulo)</w:t>
            </w:r>
          </w:p>
        </w:tc>
        <w:tc>
          <w:tcPr/>
          <w:p>
            <w:pPr>
              <w:pStyle w:val="Compact"/>
              <w:jc w:val="left"/>
            </w:pPr>
            <w:r>
              <w:t xml:space="preserve">187 patients</w:t>
            </w:r>
          </w:p>
        </w:tc>
        <w:tc>
          <w:tcPr/>
          <w:p>
            <w:pPr>
              <w:pStyle w:val="Compact"/>
              <w:jc w:val="left"/>
            </w:pPr>
            <w:r>
              <w:t xml:space="preserve">146 patients</w:t>
            </w:r>
          </w:p>
        </w:tc>
        <w:tc>
          <w:tcPr/>
          <w:p>
            <w:pPr>
              <w:pStyle w:val="Compact"/>
              <w:jc w:val="left"/>
            </w:pPr>
            <w:r>
              <w:t xml:space="preserve">+28.1%</w:t>
            </w:r>
          </w:p>
        </w:tc>
      </w:tr>
      <w:tr>
        <w:tc>
          <w:tcPr/>
          <w:p>
            <w:pPr>
              <w:pStyle w:val="Compact"/>
              <w:jc w:val="left"/>
            </w:pPr>
            <w:r>
              <w:t xml:space="preserve">Average Revenue per Patient (RPP)</w:t>
            </w:r>
          </w:p>
        </w:tc>
        <w:tc>
          <w:tcPr/>
          <w:p>
            <w:pPr>
              <w:pStyle w:val="Compact"/>
              <w:jc w:val="left"/>
            </w:pPr>
            <w:r>
              <w:t xml:space="preserve">R$ 7,550</w:t>
            </w:r>
          </w:p>
        </w:tc>
        <w:tc>
          <w:tcPr/>
          <w:p>
            <w:pPr>
              <w:pStyle w:val="Compact"/>
              <w:jc w:val="left"/>
            </w:pPr>
            <w:r>
              <w:t xml:space="preserve">R$ 6,820</w:t>
            </w:r>
          </w:p>
        </w:tc>
        <w:tc>
          <w:tcPr/>
          <w:p>
            <w:pPr>
              <w:pStyle w:val="Compact"/>
              <w:jc w:val="left"/>
            </w:pPr>
            <w:r>
              <w:t xml:space="preserve">+10.7%</w:t>
            </w:r>
          </w:p>
        </w:tc>
      </w:tr>
      <w:tr>
        <w:tc>
          <w:tcPr/>
          <w:p>
            <w:pPr>
              <w:pStyle w:val="Compact"/>
              <w:jc w:val="left"/>
            </w:pPr>
            <w:r>
              <w:t xml:space="preserve">Procedure Volume (Braces/Invisalign)</w:t>
            </w:r>
          </w:p>
        </w:tc>
        <w:tc>
          <w:tcPr/>
          <w:p>
            <w:pPr>
              <w:pStyle w:val="Compact"/>
              <w:jc w:val="left"/>
            </w:pPr>
            <w:r>
              <w:t xml:space="preserve">312 cases</w:t>
            </w:r>
          </w:p>
        </w:tc>
        <w:tc>
          <w:tcPr/>
          <w:p>
            <w:pPr>
              <w:pStyle w:val="Compact"/>
              <w:jc w:val="left"/>
            </w:pPr>
            <w:r>
              <w:t xml:space="preserve">265 cases</w:t>
            </w:r>
          </w:p>
        </w:tc>
        <w:tc>
          <w:tcPr/>
          <w:p>
            <w:pPr>
              <w:pStyle w:val="Compact"/>
              <w:jc w:val="left"/>
            </w:pPr>
            <w:r>
              <w:t xml:space="preserve">+17.7%</w:t>
            </w:r>
          </w:p>
        </w:tc>
      </w:tr>
      <w:tr>
        <w:tc>
          <w:tcPr/>
          <w:p>
            <w:pPr>
              <w:pStyle w:val="Compact"/>
              <w:jc w:val="left"/>
            </w:pPr>
            <w:r>
              <w:t xml:space="preserve">Patient Retention Rate</w:t>
            </w:r>
          </w:p>
        </w:tc>
        <w:tc>
          <w:tcPr/>
          <w:p>
            <w:pPr>
              <w:pStyle w:val="Compact"/>
              <w:jc w:val="left"/>
            </w:pPr>
            <w:r>
              <w:t xml:space="preserve">89.4%</w:t>
            </w:r>
          </w:p>
        </w:tc>
        <w:tc>
          <w:tcPr/>
          <w:p>
            <w:pPr>
              <w:pStyle w:val="Compact"/>
              <w:jc w:val="left"/>
            </w:pPr>
            <w:r>
              <w:t xml:space="preserve">84.1%</w:t>
            </w:r>
          </w:p>
        </w:tc>
        <w:tc>
          <w:tcPr/>
          <w:p>
            <w:pPr>
              <w:pStyle w:val="Compact"/>
              <w:jc w:val="left"/>
            </w:pPr>
            <w:r>
              <w:t xml:space="preserve">+5.3%</w:t>
            </w:r>
          </w:p>
        </w:tc>
      </w:tr>
      <w:tr>
        <w:tc>
          <w:tcPr/>
          <w:p>
            <w:pPr>
              <w:pStyle w:val="Compact"/>
              <w:jc w:val="left"/>
            </w:pPr>
            <w:r>
              <w:t xml:space="preserve">Online Booking Conversion Rate</w:t>
            </w:r>
          </w:p>
        </w:tc>
        <w:tc>
          <w:tcPr/>
          <w:p>
            <w:pPr>
              <w:pStyle w:val="Compact"/>
              <w:jc w:val="left"/>
            </w:pPr>
            <w:r>
              <w:t xml:space="preserve">37.2%</w:t>
            </w:r>
          </w:p>
        </w:tc>
        <w:tc>
          <w:tcPr/>
          <w:p>
            <w:pPr>
              <w:pStyle w:val="Compact"/>
              <w:jc w:val="left"/>
            </w:pPr>
            <w:r>
              <w:t xml:space="preserve">29.6%</w:t>
            </w:r>
          </w:p>
        </w:tc>
        <w:tc>
          <w:tcPr/>
          <w:p>
            <w:pPr>
              <w:pStyle w:val="Compact"/>
              <w:jc w:val="left"/>
            </w:pPr>
            <w:r>
              <w:t xml:space="preserve">+7.6% (Brazil São Paulo)</w:t>
            </w:r>
          </w:p>
        </w:tc>
      </w:tr>
    </w:tbl>
    <w:bookmarkEnd w:id="22"/>
    <w:bookmarkStart w:id="23" w:name="X2bd78831de2444735e6e931bd35518b13b2bc03"/>
    <w:p>
      <w:pPr>
        <w:pStyle w:val="Heading2"/>
      </w:pPr>
      <w:r>
        <w:t xml:space="preserve">Strategic Marketing Impact on Sales Performance</w:t>
      </w:r>
    </w:p>
    <w:p>
      <w:pPr>
        <w:pStyle w:val="FirstParagraph"/>
      </w:pPr>
      <w:r>
        <w:t xml:space="preserve">The Sales Report reveals how targeted marketing initiatives aligned with Brazil São Paulo's cultural preferences have driven our exceptional growth. Our practice implemented a multilingual digital campaign (Portuguese/English) targeting São Paulo's cosmopolitan neighborhoods like Jardins and Morumbi, which increased local leads by 52%. Crucially, we partnered with prominent Brazilian influencers in the health/wellness space who share content about orthodontic journeys—resulting in a 33% surge in social media referrals specifically from Brazil São Paulo's affluent demographics.</w:t>
      </w:r>
    </w:p>
    <w:p>
      <w:pPr>
        <w:pStyle w:val="BodyText"/>
      </w:pPr>
      <w:r>
        <w:t xml:space="preserve">Furthermore, our adoption of integrated telehealth consultations—a response to pandemic-era patient expectations—has proven transformative. This service now accounts for 24% of new patient consultations, with Brazilian patients particularly valuing the convenience during São Paulo's notorious commute times. The Sales Report confirms this initiative directly contributed to a 19% reduction in appointment no-shows compared to industry averages in Brazil São Paulo.</w:t>
      </w:r>
    </w:p>
    <w:bookmarkEnd w:id="23"/>
    <w:bookmarkStart w:id="24" w:name="X35c602d31716b45d109c24b0653b363997c2ac4"/>
    <w:p>
      <w:pPr>
        <w:pStyle w:val="Heading2"/>
      </w:pPr>
      <w:r>
        <w:t xml:space="preserve">Competitive Differentiation: Why Patients Choose Our Orthodontist Practice</w:t>
      </w:r>
    </w:p>
    <w:p>
      <w:pPr>
        <w:pStyle w:val="FirstParagraph"/>
      </w:pPr>
      <w:r>
        <w:t xml:space="preserve">Analysis of our Sales Report indicates three critical differentiators that resonate powerfully with patients seeking an Orthodontist in Brazil São Paulo:</w:t>
      </w:r>
    </w:p>
    <w:p>
      <w:pPr>
        <w:numPr>
          <w:ilvl w:val="0"/>
          <w:numId w:val="1001"/>
        </w:numPr>
        <w:pStyle w:val="Compact"/>
      </w:pPr>
      <w:r>
        <w:rPr>
          <w:bCs/>
          <w:b/>
        </w:rPr>
        <w:t xml:space="preserve">Cultural Fluency in Patient Care</w:t>
      </w:r>
      <w:r>
        <w:t xml:space="preserve">: Our all-Portuguese-speaking clinical team (with additional English/Italian capabilities) addresses a documented pain point—48% of Brazilian orthodontic patients previously reported communication barriers with foreign-trained practitioners (São Paulo Dental Survey, 2023).</w:t>
      </w:r>
    </w:p>
    <w:p>
      <w:pPr>
        <w:numPr>
          <w:ilvl w:val="0"/>
          <w:numId w:val="1001"/>
        </w:numPr>
        <w:pStyle w:val="Compact"/>
      </w:pPr>
      <w:r>
        <w:rPr>
          <w:bCs/>
          <w:b/>
        </w:rPr>
        <w:t xml:space="preserve">Transparent Pricing Models</w:t>
      </w:r>
      <w:r>
        <w:t xml:space="preserve">: We implemented Brazil-specific payment plans aligned with the country's healthcare insurance framework (e.g., "Plano Odontológico" integration), reducing financial hesitation. This strategy drove a 31% increase in cases financed through São Paulo-based dental insurers.</w:t>
      </w:r>
    </w:p>
    <w:p>
      <w:pPr>
        <w:numPr>
          <w:ilvl w:val="0"/>
          <w:numId w:val="1001"/>
        </w:numPr>
        <w:pStyle w:val="Compact"/>
      </w:pPr>
      <w:r>
        <w:rPr>
          <w:bCs/>
          <w:b/>
        </w:rPr>
        <w:t xml:space="preserve">Community Health Initiatives</w:t>
      </w:r>
      <w:r>
        <w:t xml:space="preserve">: Partnering with São Paulo public schools for free orthodontic screenings positioned us as a socially responsible provider. These initiatives generated 76 qualified leads and elevated brand trust, directly contributing to our 22% higher referral rate from local pediatricians in Brazil São Paulo.</w:t>
      </w:r>
    </w:p>
    <w:bookmarkEnd w:id="24"/>
    <w:bookmarkStart w:id="25" w:name="X067aa96cd8601efdff60bd72ca52d5f84c80338"/>
    <w:p>
      <w:pPr>
        <w:pStyle w:val="Heading2"/>
      </w:pPr>
      <w:r>
        <w:t xml:space="preserve">Regional Challenges and Strategic Adaptations</w:t>
      </w:r>
    </w:p>
    <w:p>
      <w:pPr>
        <w:pStyle w:val="FirstParagraph"/>
      </w:pPr>
      <w:r>
        <w:t xml:space="preserve">The Sales Report acknowledges economic headwinds impacting Brazil São Paulo, including inflationary pressures affecting disposable income. To mitigate this, we introduced a "São Paulo Family Package" bundling dental cleanings with orthodontic consultations at 15% below standard pricing—resulting in 47% uptake among families with multiple children. Additionally, we navigated complex Brazilian healthcare regulations by streamlining paperwork through a dedicated compliance officer, reducing patient onboarding time by 38%.</w:t>
      </w:r>
    </w:p>
    <w:p>
      <w:pPr>
        <w:pStyle w:val="BodyText"/>
      </w:pPr>
      <w:r>
        <w:t xml:space="preserve">Notably, our Sales Report identifies that São Paulo's urban patients prioritize speed and convenience more than rural counterparts. This insight led to our "Same-Week Consultation" guarantee (available across all Brazil São Paulo locations), which now accounts for 68% of new patient sign-ups.</w:t>
      </w:r>
    </w:p>
    <w:bookmarkEnd w:id="25"/>
    <w:bookmarkStart w:id="26" w:name="Xedb13697a2e41996c20f28cc4e36c551d047c33"/>
    <w:p>
      <w:pPr>
        <w:pStyle w:val="Heading2"/>
      </w:pPr>
      <w:r>
        <w:t xml:space="preserve">Future Outlook and Strategic Recommendations</w:t>
      </w:r>
    </w:p>
    <w:p>
      <w:pPr>
        <w:pStyle w:val="FirstParagraph"/>
      </w:pPr>
      <w:r>
        <w:t xml:space="preserve">Based on robust data in this Sales Report, we project continued growth for our Orthodontist practice in Brazil São Paulo. The market shows strong potential as orthodontic services expand beyond cosmetic needs to include early intervention programs—aligning with Brazilian dental association recommendations.</w:t>
      </w:r>
    </w:p>
    <w:p>
      <w:pPr>
        <w:pStyle w:val="BodyText"/>
      </w:pPr>
      <w:r>
        <w:t xml:space="preserve">We recommend three priority initiatives for 2024:</w:t>
      </w:r>
    </w:p>
    <w:p>
      <w:pPr>
        <w:numPr>
          <w:ilvl w:val="0"/>
          <w:numId w:val="1002"/>
        </w:numPr>
        <w:pStyle w:val="Compact"/>
      </w:pPr>
      <w:r>
        <w:rPr>
          <w:bCs/>
          <w:b/>
        </w:rPr>
        <w:t xml:space="preserve">Expansion into São Paulo's Suburbs</w:t>
      </w:r>
      <w:r>
        <w:t xml:space="preserve">: Targeting emerging neighborhoods like Vila Olímpia and Barra Funda where demand outpaces supply, with 3 new satellite clinics planned by Q3 2024.</w:t>
      </w:r>
    </w:p>
    <w:p>
      <w:pPr>
        <w:numPr>
          <w:ilvl w:val="0"/>
          <w:numId w:val="1002"/>
        </w:numPr>
        <w:pStyle w:val="Compact"/>
      </w:pPr>
      <w:r>
        <w:rPr>
          <w:bCs/>
          <w:b/>
        </w:rPr>
        <w:t xml:space="preserve">AI-Powered Treatment Planning</w:t>
      </w:r>
      <w:r>
        <w:t xml:space="preserve">: Implementing Brazilian-adapted digital smile design software to shorten treatment timelines—a feature requested by 81% of new patients in our Sales Report surveys.</w:t>
      </w:r>
    </w:p>
    <w:p>
      <w:pPr>
        <w:numPr>
          <w:ilvl w:val="0"/>
          <w:numId w:val="1002"/>
        </w:numPr>
        <w:pStyle w:val="Compact"/>
      </w:pPr>
      <w:r>
        <w:rPr>
          <w:bCs/>
          <w:b/>
        </w:rPr>
        <w:t xml:space="preserve">Insurance Partnership Development</w:t>
      </w:r>
      <w:r>
        <w:t xml:space="preserve">: Deepening relationships with major São Paulo insurers (including the national "SUS" dental program) to secure expanded coverage for orthodontic treatments, addressing a key barrier identified in 64% of patient inquiries.</w:t>
      </w:r>
    </w:p>
    <w:bookmarkEnd w:id="26"/>
    <w:bookmarkStart w:id="27" w:name="conclusion"/>
    <w:p>
      <w:pPr>
        <w:pStyle w:val="Heading2"/>
      </w:pPr>
      <w:r>
        <w:t xml:space="preserve">Conclusion</w:t>
      </w:r>
    </w:p>
    <w:p>
      <w:pPr>
        <w:pStyle w:val="FirstParagraph"/>
      </w:pPr>
      <w:r>
        <w:t xml:space="preserve">This comprehensive Sales Report confirms that our Orthodontist practice has not only thrived in Brazil São Paulo's competitive market but has established itself as a category leader through culturally intelligent service delivery and data-driven innovation. The 28% patient growth, coupled with superior retention metrics, demonstrates the effectiveness of our São Paulo-specific strategies. As we continue to evolve with Brazil's dental landscape, our commitment to delivering exceptional orthodontic care tailored for São Paulo residents remains central to every initiative—ensuring sustained success in this vital healthcare segment.</w:t>
      </w:r>
    </w:p>
    <w:p>
      <w:pPr>
        <w:pStyle w:val="BodyText"/>
      </w:pPr>
      <w:r>
        <w:rPr>
          <w:bCs/>
          <w:b/>
        </w:rPr>
        <w:t xml:space="preserve">Prepared By:</w:t>
      </w:r>
      <w:r>
        <w:t xml:space="preserve"> </w:t>
      </w:r>
      <w:r>
        <w:t xml:space="preserve">São Paulo Orthodontics Sales Strategy Team</w:t>
      </w:r>
      <w:r>
        <w:br/>
      </w:r>
      <w:r>
        <w:rPr>
          <w:bCs/>
          <w:b/>
        </w:rPr>
        <w:t xml:space="preserve">Date:</w:t>
      </w:r>
      <w:r>
        <w:t xml:space="preserve"> </w:t>
      </w:r>
      <w:r>
        <w:t xml:space="preserve">January 15, 2024</w:t>
      </w:r>
      <w:r>
        <w:br/>
      </w:r>
      <w:r>
        <w:rPr>
          <w:bCs/>
          <w:b/>
        </w:rPr>
        <w:t xml:space="preserve">Report Validity Period:</w:t>
      </w:r>
      <w:r>
        <w:t xml:space="preserve"> </w:t>
      </w:r>
      <w:r>
        <w:t xml:space="preserve">January 1, 2023 - December 31,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Practice Performance - Brazil São Paulo</dc:title>
  <dc:creator/>
  <dc:language>en</dc:language>
  <cp:keywords/>
  <dcterms:created xsi:type="dcterms:W3CDTF">2026-07-24T04:56:36Z</dcterms:created>
  <dcterms:modified xsi:type="dcterms:W3CDTF">2026-07-24T04:56:36Z</dcterms:modified>
</cp:coreProperties>
</file>

<file path=docProps/custom.xml><?xml version="1.0" encoding="utf-8"?>
<Properties xmlns="http://schemas.openxmlformats.org/officeDocument/2006/custom-properties" xmlns:vt="http://schemas.openxmlformats.org/officeDocument/2006/docPropsVTypes"/>
</file>