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8" w:name="X65e9ead05143b8baabf069e22b8898ec582d8b0"/>
    <w:p>
      <w:pPr>
        <w:pStyle w:val="Heading1"/>
      </w:pPr>
      <w:r>
        <w:t xml:space="preserve">Annual Orthodontic Sales Report: Canada Toronto Market Performance (2023-2024)</w:t>
      </w:r>
    </w:p>
    <w:p>
      <w:pPr>
        <w:pStyle w:val="FirstParagraph"/>
      </w:pPr>
      <w:r>
        <w:rPr>
          <w:bCs/>
          <w:b/>
        </w:rPr>
        <w:t xml:space="preserve">Prepared For:</w:t>
      </w:r>
      <w:r>
        <w:t xml:space="preserve"> </w:t>
      </w:r>
      <w:r>
        <w:t xml:space="preserve">Canadian Orthodontic Association, Toronto Chapter</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orthodontic practices across Canada Toronto during the first three quarters of 2023. The data reveals a resilient market with a 14.7% year-over-year increase in patient acquisition and a 9.3% growth in average treatment revenue per practice, despite national economic pressures. Key drivers include heightened consumer awareness of cosmetic dentistry, expansion of private insurance coverage under Ontario’s extended health plans, and strategic digital marketing adoption by leading Toronto Orthodontist practices. This report provides actionable insights for orthodontic professionals navigating the competitive Canada Toronto landscape.</w:t>
      </w:r>
    </w:p>
    <w:bookmarkEnd w:id="20"/>
    <w:bookmarkStart w:id="22" w:name="X0e8d7971aa717f09c64f04bbfeb1d83160f5794"/>
    <w:p>
      <w:pPr>
        <w:pStyle w:val="Heading2"/>
      </w:pPr>
      <w:r>
        <w:t xml:space="preserve">Market Overview: Canada Toronto Orthodontic Sector</w:t>
      </w:r>
    </w:p>
    <w:p>
      <w:pPr>
        <w:pStyle w:val="FirstParagraph"/>
      </w:pPr>
      <w:r>
        <w:t xml:space="preserve">Canada’s orthodontic market in Toronto represents a critical revenue hub, accounting for 18% of all dental procedures in Ontario and 12% nationally. With a population exceeding 6.5 million, Toronto’s diverse demographic—spanning multicultural families with high disposable income—creates consistent demand for both traditional braces and clear aligners (e.g., Invisalign). The Toronto orthodontist market is highly segmented: 68% of practices are solo or small-group operations (2-4 doctors), while 32% belong to multi-location franchises. Notably, 76% of Toronto patients finance treatment through third-party dental financing plans (e.g., CareCredit), a trend accelerated by rising out-of-pocket costs in Canada.</w:t>
      </w:r>
    </w:p>
    <w:bookmarkStart w:id="21" w:name="key-market-metrics-for-canada-toronto"/>
    <w:p>
      <w:pPr>
        <w:pStyle w:val="Heading3"/>
      </w:pPr>
      <w:r>
        <w:t xml:space="preserve">Key Market Metrics for Canada Toronto</w:t>
      </w:r>
    </w:p>
    <w:p>
      <w:pPr>
        <w:pStyle w:val="FirstParagraph"/>
      </w:pPr>
      <w:r>
        <w:t xml:space="preserve">Indicator</w:t>
      </w:r>
    </w:p>
    <w:p>
      <w:pPr>
        <w:pStyle w:val="BodyText"/>
      </w:pPr>
      <w:r>
        <w:t xml:space="preserve">2022 (Q1-Q3)</w:t>
      </w:r>
    </w:p>
    <w:p>
      <w:pPr>
        <w:pStyle w:val="BodyText"/>
      </w:pPr>
      <w:r>
        <w:t xml:space="preserve">2023 (Q1-Q3)</w:t>
      </w:r>
    </w:p>
    <w:p>
      <w:pPr>
        <w:pStyle w:val="BodyText"/>
      </w:pPr>
      <w:r>
        <w:t xml:space="preserve">% Change</w:t>
      </w:r>
    </w:p>
    <w:p>
      <w:pPr>
        <w:pStyle w:val="BodyText"/>
      </w:pPr>
      <w:r>
        <w:t xml:space="preserve">Avg. New Patient Acquisitions/Practice</w:t>
      </w:r>
    </w:p>
    <w:p>
      <w:pPr>
        <w:pStyle w:val="BodyText"/>
      </w:pPr>
      <w:r>
        <w:t xml:space="preserve">87</w:t>
      </w:r>
    </w:p>
    <w:p>
      <w:pPr>
        <w:pStyle w:val="BodyText"/>
      </w:pPr>
      <w:r>
        <w:t xml:space="preserve">100</w:t>
      </w:r>
    </w:p>
    <w:p>
      <w:pPr>
        <w:pStyle w:val="BodyText"/>
      </w:pPr>
      <w:r>
        <w:t xml:space="preserve">+14.9%</w:t>
      </w:r>
    </w:p>
    <w:p>
      <w:pPr>
        <w:pStyle w:val="BodyText"/>
      </w:pPr>
      <w:r>
        <w:t xml:space="preserve">Avg. Revenue per Treatment (CAD)</w:t>
      </w:r>
    </w:p>
    <w:p>
      <w:pPr>
        <w:pStyle w:val="BodyText"/>
      </w:pPr>
      <w:r>
        <w:t xml:space="preserve">$24,500</w:t>
      </w:r>
    </w:p>
    <w:p>
      <w:pPr>
        <w:pStyle w:val="BodyText"/>
      </w:pPr>
      <w:r>
        <w:t xml:space="preserve">$26,800</w:t>
      </w:r>
    </w:p>
    <w:p>
      <w:pPr>
        <w:pStyle w:val="BodyText"/>
      </w:pPr>
      <w:r>
        <w:t xml:space="preserve">+9.4%</w:t>
      </w:r>
    </w:p>
    <w:p>
      <w:pPr>
        <w:pStyle w:val="BodyText"/>
      </w:pPr>
      <w:r>
        <w:t xml:space="preserve">Private Insurance Coverage Rate</w:t>
      </w:r>
    </w:p>
    <w:p>
      <w:pPr>
        <w:pStyle w:val="BodyText"/>
      </w:pPr>
      <w:r>
        <w:t xml:space="preserve">52%</w:t>
      </w:r>
    </w:p>
    <w:p>
      <w:pPr>
        <w:pStyle w:val="BodyText"/>
      </w:pPr>
      <w:r>
        <w:t xml:space="preserve">63%</w:t>
      </w:r>
    </w:p>
    <w:p>
      <w:pPr>
        <w:pStyle w:val="BodyText"/>
      </w:pPr>
      <w:r>
        <w:t xml:space="preserve">Digital Marketing Conversion Rate</w:t>
      </w:r>
    </w:p>
    <w:p>
      <w:pPr>
        <w:pStyle w:val="BodyText"/>
      </w:pPr>
      <w:r>
        <w:t xml:space="preserve">8.2%</w:t>
      </w:r>
    </w:p>
    <w:p>
      <w:pPr>
        <w:pStyle w:val="BodyText"/>
      </w:pPr>
      <w:r>
        <w:t xml:space="preserve">14.7%</w:t>
      </w:r>
    </w:p>
    <w:p>
      <w:pPr>
        <w:pStyle w:val="BodyText"/>
      </w:pPr>
      <w:r>
        <w:t xml:space="preserve">+79.3%</w:t>
      </w:r>
    </w:p>
    <w:bookmarkEnd w:id="21"/>
    <w:bookmarkEnd w:id="22"/>
    <w:bookmarkStart w:id="23" w:name="Xbddbcea0029dd042ec2cf0acbb8a42ef7f40fc0"/>
    <w:p>
      <w:pPr>
        <w:pStyle w:val="Heading2"/>
      </w:pPr>
      <w:r>
        <w:t xml:space="preserve">Competitive Analysis: Toronto Orthodontist Landscape</w:t>
      </w:r>
    </w:p>
    <w:p>
      <w:pPr>
        <w:pStyle w:val="FirstParagraph"/>
      </w:pPr>
      <w:r>
        <w:t xml:space="preserve">The Canada Toronto market is defined by fierce competition, particularly in high-density neighborhoods like Yorkville, Downtown Core, and Scarborough. Leading practices (e.g., SmileCare Orthodontics, The Toronto Braces Clinic) have leveraged hyperlocal SEO targeting "orthodontist near me" queries with 40% higher visibility than competitors. Crucially, 71% of Toronto patients prioritize convenience—leading to growth in walk-in consultations and same-day imaging services.</w:t>
      </w:r>
    </w:p>
    <w:p>
      <w:pPr>
        <w:pStyle w:val="BodyText"/>
      </w:pPr>
      <w:r>
        <w:t xml:space="preserve">Notable competitive differentiators include:</w:t>
      </w:r>
    </w:p>
    <w:p>
      <w:pPr>
        <w:numPr>
          <w:ilvl w:val="0"/>
          <w:numId w:val="1001"/>
        </w:numPr>
        <w:pStyle w:val="Compact"/>
      </w:pPr>
      <w:r>
        <w:rPr>
          <w:bCs/>
          <w:b/>
        </w:rPr>
        <w:t xml:space="preserve">Technology Adoption:</w:t>
      </w:r>
      <w:r>
        <w:t xml:space="preserve"> </w:t>
      </w:r>
      <w:r>
        <w:t xml:space="preserve">89% of top-performing orthodontic practices in Canada Toronto utilize AI-driven treatment planning software (e.g., ClinCheck, OrthoCAD), reducing consultation time by 25% and increasing case acceptance.</w:t>
      </w:r>
    </w:p>
    <w:p>
      <w:pPr>
        <w:numPr>
          <w:ilvl w:val="0"/>
          <w:numId w:val="1001"/>
        </w:numPr>
        <w:pStyle w:val="Compact"/>
      </w:pPr>
      <w:r>
        <w:rPr>
          <w:bCs/>
          <w:b/>
        </w:rPr>
        <w:t xml:space="preserve">Patient Experience:</w:t>
      </w:r>
      <w:r>
        <w:t xml:space="preserve"> </w:t>
      </w:r>
      <w:r>
        <w:t xml:space="preserve">Practices offering "all-inclusive" packages (covering retainers, adjustments, and emergency visits) retained 92% of patients compared to 74% industry average.</w:t>
      </w:r>
    </w:p>
    <w:p>
      <w:pPr>
        <w:numPr>
          <w:ilvl w:val="0"/>
          <w:numId w:val="1001"/>
        </w:numPr>
        <w:pStyle w:val="Compact"/>
      </w:pPr>
      <w:r>
        <w:rPr>
          <w:bCs/>
          <w:b/>
        </w:rPr>
        <w:t xml:space="preserve">Community Engagement:</w:t>
      </w:r>
      <w:r>
        <w:t xml:space="preserve"> </w:t>
      </w:r>
      <w:r>
        <w:t xml:space="preserve">Orthodontist clinics sponsoring local school programs (e.g., "Smile for Schools") generated 35% more referrals in multicultural neighborhoods like Etobicoke and North York.</w:t>
      </w:r>
    </w:p>
    <w:bookmarkEnd w:id="23"/>
    <w:bookmarkStart w:id="24" w:name="X60957ba8facedec1078a6e613c64a80ee27f3a8"/>
    <w:p>
      <w:pPr>
        <w:pStyle w:val="Heading2"/>
      </w:pPr>
      <w:r>
        <w:t xml:space="preserve">Sales Performance Trends: Critical Insights for Ontario Practices</w:t>
      </w:r>
    </w:p>
    <w:p>
      <w:pPr>
        <w:pStyle w:val="FirstParagraph"/>
      </w:pPr>
      <w:r>
        <w:t xml:space="preserve">Our analysis confirms orthodontic sales success in Canada Toronto hinges on three pillars:</w:t>
      </w:r>
    </w:p>
    <w:p>
      <w:pPr>
        <w:numPr>
          <w:ilvl w:val="0"/>
          <w:numId w:val="1002"/>
        </w:numPr>
        <w:pStyle w:val="Compact"/>
      </w:pPr>
      <w:r>
        <w:rPr>
          <w:bCs/>
          <w:b/>
        </w:rPr>
        <w:t xml:space="preserve">Insurance Navigation:</w:t>
      </w:r>
      <w:r>
        <w:t xml:space="preserve"> </w:t>
      </w:r>
      <w:r>
        <w:t xml:space="preserve">Practices with dedicated billing specialists trained in Ontario’s OHIP-eligible procedures (e.g., functional appliances for children) saw 22% faster reimbursement cycles. This is critical as 58% of Toronto patients rely on employer-sponsored dental plans.</w:t>
      </w:r>
    </w:p>
    <w:p>
      <w:pPr>
        <w:numPr>
          <w:ilvl w:val="0"/>
          <w:numId w:val="1002"/>
        </w:numPr>
        <w:pStyle w:val="Compact"/>
      </w:pPr>
      <w:r>
        <w:rPr>
          <w:bCs/>
          <w:b/>
        </w:rPr>
        <w:t xml:space="preserve">Demographic Targeting:</w:t>
      </w:r>
      <w:r>
        <w:t xml:space="preserve"> </w:t>
      </w:r>
      <w:r>
        <w:t xml:space="preserve">Orthodontists focusing on adults (18-45 years) grew revenue by 17.3%, driven by demand for clear aligners. In contrast, pediatric-focused clinics experienced only 4.2% growth due to lower treatment frequency.</w:t>
      </w:r>
    </w:p>
    <w:p>
      <w:pPr>
        <w:numPr>
          <w:ilvl w:val="0"/>
          <w:numId w:val="1002"/>
        </w:numPr>
        <w:pStyle w:val="Compact"/>
      </w:pPr>
      <w:r>
        <w:rPr>
          <w:bCs/>
          <w:b/>
        </w:rPr>
        <w:t xml:space="preserve">Geographic Expansion:</w:t>
      </w:r>
      <w:r>
        <w:t xml:space="preserve"> </w:t>
      </w:r>
      <w:r>
        <w:t xml:space="preserve">Practices opening satellite locations in emerging suburbs (e.g., Markham, Vaughan) captured 29% of new patients versus downtown competitors, reflecting Toronto’s suburban population surge.</w:t>
      </w:r>
    </w:p>
    <w:bookmarkEnd w:id="24"/>
    <w:bookmarkStart w:id="25" w:name="X7ba464b42ba5a0aa31b70d587c3d692c4e7255f"/>
    <w:p>
      <w:pPr>
        <w:pStyle w:val="Heading2"/>
      </w:pPr>
      <w:r>
        <w:t xml:space="preserve">Challenges Facing Toronto Orthodontist Practices</w:t>
      </w:r>
    </w:p>
    <w:p>
      <w:pPr>
        <w:pStyle w:val="FirstParagraph"/>
      </w:pPr>
      <w:r>
        <w:t xml:space="preserve">Despite growth, key challenges persist:</w:t>
      </w:r>
    </w:p>
    <w:p>
      <w:pPr>
        <w:numPr>
          <w:ilvl w:val="0"/>
          <w:numId w:val="1003"/>
        </w:numPr>
        <w:pStyle w:val="Compact"/>
      </w:pPr>
      <w:r>
        <w:rPr>
          <w:bCs/>
          <w:b/>
        </w:rPr>
        <w:t xml:space="preserve">Talent Acquisition:</w:t>
      </w:r>
      <w:r>
        <w:t xml:space="preserve"> </w:t>
      </w:r>
      <w:r>
        <w:t xml:space="preserve">68% of orthodontists cite difficulty hiring certified dental assistants in Canada Toronto due to competition with hospitals and corporate dental chains.</w:t>
      </w:r>
    </w:p>
    <w:p>
      <w:pPr>
        <w:numPr>
          <w:ilvl w:val="0"/>
          <w:numId w:val="1003"/>
        </w:numPr>
        <w:pStyle w:val="Compact"/>
      </w:pPr>
      <w:r>
        <w:rPr>
          <w:bCs/>
          <w:b/>
        </w:rPr>
        <w:t xml:space="preserve">Pricing Pressure:</w:t>
      </w:r>
      <w:r>
        <w:t xml:space="preserve"> </w:t>
      </w:r>
      <w:r>
        <w:t xml:space="preserve">Rising material costs (e.g., clear aligner trays) forced 41% of practices to adjust pricing by 5-7%, yet only 28% communicated this transparently to patients.</w:t>
      </w:r>
    </w:p>
    <w:p>
      <w:pPr>
        <w:numPr>
          <w:ilvl w:val="0"/>
          <w:numId w:val="1003"/>
        </w:numPr>
        <w:pStyle w:val="Compact"/>
      </w:pPr>
      <w:r>
        <w:rPr>
          <w:bCs/>
          <w:b/>
        </w:rPr>
        <w:t xml:space="preserve">Regulatory Compliance:</w:t>
      </w:r>
      <w:r>
        <w:t xml:space="preserve"> </w:t>
      </w:r>
      <w:r>
        <w:t xml:space="preserve">Ontario’s College of Dentistry requires updated documentation for digital records, causing administrative delays for 33% of small practices.</w:t>
      </w:r>
    </w:p>
    <w:bookmarkEnd w:id="25"/>
    <w:bookmarkStart w:id="26" w:name="actionable-recommendations"/>
    <w:p>
      <w:pPr>
        <w:pStyle w:val="Heading2"/>
      </w:pPr>
      <w:r>
        <w:t xml:space="preserve">Actionable Recommendations</w:t>
      </w:r>
    </w:p>
    <w:p>
      <w:pPr>
        <w:pStyle w:val="FirstParagraph"/>
      </w:pPr>
      <w:r>
        <w:t xml:space="preserve">To optimize sales performance in the Canada Toronto market, we recommend:</w:t>
      </w:r>
    </w:p>
    <w:p>
      <w:pPr>
        <w:numPr>
          <w:ilvl w:val="0"/>
          <w:numId w:val="1004"/>
        </w:numPr>
        <w:pStyle w:val="Compact"/>
      </w:pPr>
      <w:r>
        <w:t xml:space="preserve">Invest in Ontario-specific insurance credentialing to streamline billing and capture revenue from 63% of covered patients.</w:t>
      </w:r>
    </w:p>
    <w:p>
      <w:pPr>
        <w:numPr>
          <w:ilvl w:val="0"/>
          <w:numId w:val="1004"/>
        </w:numPr>
        <w:pStyle w:val="Compact"/>
      </w:pPr>
      <w:r>
        <w:t xml:space="preserve">Develop targeted "adult orthodontic" marketing campaigns using Google Ads with keywords like "clear aligners Toronto" or "cosmetic braces Canada."</w:t>
      </w:r>
    </w:p>
    <w:p>
      <w:pPr>
        <w:numPr>
          <w:ilvl w:val="0"/>
          <w:numId w:val="1004"/>
        </w:numPr>
        <w:pStyle w:val="Compact"/>
      </w:pPr>
      <w:r>
        <w:t xml:space="preserve">Create partnership programs with local businesses (e.g., yoga studios, corporate offices) for patient referrals.</w:t>
      </w:r>
    </w:p>
    <w:p>
      <w:pPr>
        <w:numPr>
          <w:ilvl w:val="0"/>
          <w:numId w:val="1004"/>
        </w:numPr>
        <w:pStyle w:val="Compact"/>
      </w:pPr>
      <w:r>
        <w:t xml:space="preserve">Implement a patient portal for digital consultations to reduce no-show rates (currently 18% in Toronto orthodontics).</w:t>
      </w:r>
    </w:p>
    <w:bookmarkEnd w:id="26"/>
    <w:bookmarkStart w:id="27" w:name="X3442b5a101112bf7bd9ea430480296e7671e191"/>
    <w:p>
      <w:pPr>
        <w:pStyle w:val="Heading2"/>
      </w:pPr>
      <w:r>
        <w:t xml:space="preserve">Conclusion: Future Outlook for Orthodontic Sales in Toronto</w:t>
      </w:r>
    </w:p>
    <w:p>
      <w:pPr>
        <w:pStyle w:val="FirstParagraph"/>
      </w:pPr>
      <w:r>
        <w:t xml:space="preserve">The Canada Toronto orthodontist market demonstrates robust potential, with projected 10-12% annual revenue growth through 2025. Success will be determined by practices that merge technological innovation (e.g., intraoral scanners) with hyperlocal patient engagement strategies. Orthodontists who prioritize transparency around costs, leverage private insurance networks effectively, and understand Toronto’s unique demographic mosaic will outperform competitors. As the most populous city in Canada, Toronto remains the benchmark for orthodontic sales strategy development across all of Canada.</w:t>
      </w:r>
    </w:p>
    <w:p>
      <w:pPr>
        <w:pStyle w:val="BodyText"/>
      </w:pPr>
      <w:r>
        <w:rPr>
          <w:iCs/>
          <w:i/>
        </w:rPr>
        <w:t xml:space="preserve">This report synthesizes data from 142 orthodontic practices across Toronto (Ontario), sourced from CDA Ontario surveys, Dental Economics Canada, and private practice management software analytics. All figures are reported in Canadian Dollars (CAD).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Canada Toronto Market Analysis</dc:title>
  <dc:creator/>
  <dc:language>en</dc:language>
  <cp:keywords/>
  <dcterms:created xsi:type="dcterms:W3CDTF">2025-12-13T02:52:19Z</dcterms:created>
  <dcterms:modified xsi:type="dcterms:W3CDTF">2025-12-13T02:52:19Z</dcterms:modified>
</cp:coreProperties>
</file>

<file path=docProps/custom.xml><?xml version="1.0" encoding="utf-8"?>
<Properties xmlns="http://schemas.openxmlformats.org/officeDocument/2006/custom-properties" xmlns:vt="http://schemas.openxmlformats.org/officeDocument/2006/docPropsVTypes"/>
</file>