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Sales</w:t>
      </w:r>
      <w:r>
        <w:t xml:space="preserve"> </w:t>
      </w:r>
      <w:r>
        <w:t xml:space="preserve">Report:</w:t>
      </w:r>
      <w:r>
        <w:t xml:space="preserve"> </w:t>
      </w:r>
      <w:r>
        <w:t xml:space="preserve">China</w:t>
      </w:r>
      <w:r>
        <w:t xml:space="preserve"> </w:t>
      </w:r>
      <w:r>
        <w:t xml:space="preserve">Beijing</w:t>
      </w:r>
      <w:r>
        <w:t xml:space="preserve"> </w:t>
      </w:r>
      <w:r>
        <w:t xml:space="preserve">Market</w:t>
      </w:r>
      <w:r>
        <w:t xml:space="preserve"> </w:t>
      </w:r>
      <w:r>
        <w:t xml:space="preserve">Analysis</w:t>
      </w:r>
    </w:p>
    <w:bookmarkStart w:id="27" w:name="Xcb632ccf6bd1f4dd16d7c870027e8d5ef93bd79"/>
    <w:p>
      <w:pPr>
        <w:pStyle w:val="Heading1"/>
      </w:pPr>
      <w:r>
        <w:t xml:space="preserve">Comprehensive Sales Report: Orthodontist Services in China Beijing Market (Q3 2023)</w:t>
      </w:r>
    </w:p>
    <w:p>
      <w:pPr>
        <w:pStyle w:val="FirstParagraph"/>
      </w:pPr>
      <w:r>
        <w:rPr>
          <w:bCs/>
          <w:b/>
        </w:rPr>
        <w:t xml:space="preserve">Prepared For:</w:t>
      </w:r>
      <w:r>
        <w:t xml:space="preserve"> </w:t>
      </w:r>
      <w:r>
        <w:t xml:space="preserve">Executive Leadership &amp; Strategic Planning Committee</w:t>
      </w:r>
      <w:r>
        <w:br/>
      </w:r>
      <w:r>
        <w:rPr>
          <w:bCs/>
          <w:b/>
        </w:rPr>
        <w:t xml:space="preserve">Date:</w:t>
      </w:r>
      <w:r>
        <w:t xml:space="preserve"> </w:t>
      </w:r>
      <w:r>
        <w:t xml:space="preserve">October 26, 2023</w:t>
      </w:r>
      <w:r>
        <w:br/>
      </w:r>
      <w:r>
        <w:rPr>
          <w:bCs/>
          <w:b/>
        </w:rPr>
        <w:t xml:space="preserve">Prepared By:</w:t>
      </w:r>
      <w:r>
        <w:t xml:space="preserve"> </w:t>
      </w:r>
      <w:r>
        <w:t xml:space="preserve">Beijing Orthodontic Market Intelligence Division</w:t>
      </w:r>
    </w:p>
    <w:bookmarkStart w:id="20" w:name="i.-executive-summary"/>
    <w:p>
      <w:pPr>
        <w:pStyle w:val="Heading2"/>
      </w:pPr>
      <w:r>
        <w:t xml:space="preserve">I. Executive Summary</w:t>
      </w:r>
    </w:p>
    <w:p>
      <w:pPr>
        <w:pStyle w:val="FirstParagraph"/>
      </w:pPr>
      <w:r>
        <w:t xml:space="preserve">This Sales Report presents a detailed analysis of orthodontic service performance across the China Beijing market during Q3 2023. As the capital city of China and a hub for healthcare innovation, Beijing's orthodontic sector has demonstrated remarkable growth potential. The report confirms that our premium Orthodontist practice has achieved 18% year-over-year revenue growth, significantly outperforming the national average of 9%. This success is attributed to strategic market positioning within China's rapidly expanding dental care infrastructure and targeted patient acquisition in Beijing's affluent urban districts.</w:t>
      </w:r>
    </w:p>
    <w:bookmarkEnd w:id="20"/>
    <w:bookmarkStart w:id="21" w:name="X49fdbcef77f76c4be24eadfe23fc7bb2a9b84e4"/>
    <w:p>
      <w:pPr>
        <w:pStyle w:val="Heading2"/>
      </w:pPr>
      <w:r>
        <w:t xml:space="preserve">II. Market Context: Orthodontist Demand in China Beijing</w:t>
      </w:r>
    </w:p>
    <w:p>
      <w:pPr>
        <w:pStyle w:val="FirstParagraph"/>
      </w:pPr>
      <w:r>
        <w:t xml:space="preserve">Beijing, home to over 21 million residents and a growing middle-to-upper income demographic, represents one of China's most promising orthodontic markets. The Chinese Ministry of Health reports that 76% of Beijing residents now prioritize aesthetic dental care – a 300% increase from 2015. This trend directly benefits our Orthodontist practice, where clear aligner therapy (e.g., Invisalign) saw a 42% surge in demand during the reporting period. Crucially, we've established market leadership through partnerships with Beijing's top-tier private hospitals and universities, positioning our Orthodontist team as preferred providers for families seeking premium orthodontic solutions in China's capital.</w:t>
      </w:r>
    </w:p>
    <w:bookmarkEnd w:id="21"/>
    <w:bookmarkStart w:id="22" w:name="iii.-sales-performance-breakdown"/>
    <w:p>
      <w:pPr>
        <w:pStyle w:val="Heading2"/>
      </w:pPr>
      <w:r>
        <w:t xml:space="preserve">III. 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 (¥)</w:t>
            </w:r>
          </w:p>
        </w:tc>
        <w:tc>
          <w:tcPr/>
          <w:p>
            <w:pPr>
              <w:pStyle w:val="Compact"/>
              <w:jc w:val="left"/>
            </w:pPr>
            <w:r>
              <w:t xml:space="preserve">% YoY Growth</w:t>
            </w:r>
          </w:p>
        </w:tc>
        <w:tc>
          <w:tcPr/>
          <w:p>
            <w:pPr>
              <w:pStyle w:val="Compact"/>
              <w:jc w:val="left"/>
            </w:pPr>
            <w:r>
              <w:t xml:space="preserve">Market Share (Beijing)</w:t>
            </w:r>
          </w:p>
        </w:tc>
      </w:tr>
      <w:tr>
        <w:tc>
          <w:tcPr/>
          <w:p>
            <w:pPr>
              <w:pStyle w:val="Compact"/>
              <w:jc w:val="left"/>
            </w:pPr>
            <w:r>
              <w:t xml:space="preserve">Premium Clear Aligners</w:t>
            </w:r>
          </w:p>
        </w:tc>
        <w:tc>
          <w:tcPr/>
          <w:p>
            <w:pPr>
              <w:pStyle w:val="Compact"/>
              <w:jc w:val="left"/>
            </w:pPr>
            <w:r>
              <w:t xml:space="preserve">1,850,000</w:t>
            </w:r>
          </w:p>
        </w:tc>
        <w:tc>
          <w:tcPr/>
          <w:p>
            <w:pPr>
              <w:pStyle w:val="Compact"/>
              <w:jc w:val="left"/>
            </w:pPr>
            <w:r>
              <w:t xml:space="preserve">+42.3%</w:t>
            </w:r>
          </w:p>
        </w:tc>
        <w:tc>
          <w:tcPr/>
          <w:p>
            <w:pPr>
              <w:pStyle w:val="Compact"/>
              <w:jc w:val="left"/>
            </w:pPr>
            <w:r>
              <w:t xml:space="preserve">28.7%*</w:t>
            </w:r>
          </w:p>
        </w:tc>
      </w:tr>
      <w:tr>
        <w:tc>
          <w:tcPr/>
          <w:p>
            <w:pPr>
              <w:pStyle w:val="Compact"/>
              <w:jc w:val="left"/>
            </w:pPr>
            <w:r>
              <w:t xml:space="preserve">Traditional Braces (Self-Ligating)</w:t>
            </w:r>
          </w:p>
        </w:tc>
        <w:tc>
          <w:tcPr/>
          <w:p>
            <w:pPr>
              <w:pStyle w:val="Compact"/>
              <w:jc w:val="left"/>
            </w:pPr>
            <w:r>
              <w:t xml:space="preserve">985,000</w:t>
            </w:r>
          </w:p>
        </w:tc>
        <w:tc>
          <w:tcPr/>
          <w:p>
            <w:pPr>
              <w:pStyle w:val="Compact"/>
              <w:jc w:val="left"/>
            </w:pPr>
            <w:r>
              <w:t xml:space="preserve">+14.6%</w:t>
            </w:r>
          </w:p>
        </w:tc>
        <w:tc>
          <w:tcPr/>
          <w:p>
            <w:pPr>
              <w:pStyle w:val="Compact"/>
              <w:jc w:val="left"/>
            </w:pPr>
            <w:r>
              <w:t xml:space="preserve">19.2%</w:t>
            </w:r>
          </w:p>
        </w:tc>
      </w:tr>
      <w:tr>
        <w:tc>
          <w:tcPr/>
          <w:p>
            <w:pPr>
              <w:pStyle w:val="Compact"/>
              <w:jc w:val="left"/>
            </w:pPr>
            <w:r>
              <w:t xml:space="preserve">Pediatric Orthodontics</w:t>
            </w:r>
          </w:p>
        </w:tc>
        <w:tc>
          <w:tcPr/>
          <w:p>
            <w:pPr>
              <w:pStyle w:val="Compact"/>
              <w:jc w:val="left"/>
            </w:pPr>
            <w:r>
              <w:t xml:space="preserve">523,000</w:t>
            </w:r>
          </w:p>
        </w:tc>
        <w:tc>
          <w:tcPr/>
          <w:p>
            <w:pPr>
              <w:pStyle w:val="Compact"/>
              <w:jc w:val="left"/>
            </w:pPr>
            <w:r>
              <w:t xml:space="preserve">+27.8%</w:t>
            </w:r>
          </w:p>
        </w:tc>
        <w:tc>
          <w:tcPr/>
          <w:p>
            <w:pPr>
              <w:pStyle w:val="Compact"/>
              <w:jc w:val="left"/>
            </w:pPr>
            <w:r>
              <w:t xml:space="preserve">35.1%**</w:t>
            </w:r>
          </w:p>
        </w:tc>
      </w:tr>
      <w:tr>
        <w:tc>
          <w:tcPr/>
          <w:p>
            <w:pPr>
              <w:pStyle w:val="Compact"/>
              <w:jc w:val="left"/>
            </w:pPr>
            <w:r>
              <w:t xml:space="preserve">Retail Product Sales (Trays, Care Kits)</w:t>
            </w:r>
          </w:p>
        </w:tc>
        <w:tc>
          <w:tcPr/>
          <w:p>
            <w:pPr>
              <w:pStyle w:val="Compact"/>
              <w:jc w:val="left"/>
            </w:pPr>
            <w:r>
              <w:t xml:space="preserve">142,000</w:t>
            </w:r>
          </w:p>
        </w:tc>
        <w:tc>
          <w:tcPr/>
          <w:p>
            <w:pPr>
              <w:pStyle w:val="Compact"/>
              <w:jc w:val="left"/>
            </w:pPr>
            <w:r>
              <w:t xml:space="preserve">+68.9%</w:t>
            </w:r>
          </w:p>
        </w:tc>
        <w:tc>
          <w:tcPr/>
          <w:p>
            <w:pPr>
              <w:pStyle w:val="Compact"/>
              <w:jc w:val="left"/>
            </w:pPr>
            <w:r>
              <w:t xml:space="preserve">N/A</w:t>
            </w:r>
          </w:p>
        </w:tc>
      </w:tr>
    </w:tbl>
    <w:p>
      <w:pPr>
        <w:pStyle w:val="BodyText"/>
      </w:pPr>
      <w:r>
        <w:rPr>
          <w:iCs/>
          <w:i/>
        </w:rPr>
        <w:t xml:space="preserve">*Based on Beijing Municipal Health Statistics 2023</w:t>
      </w:r>
      <w:r>
        <w:br/>
      </w:r>
      <w:r>
        <w:rPr>
          <w:iCs/>
          <w:i/>
        </w:rPr>
        <w:t xml:space="preserve">**Highest share among all pediatric orthodontic practices in central Beijing</w:t>
      </w:r>
    </w:p>
    <w:bookmarkEnd w:id="22"/>
    <w:bookmarkStart w:id="23" w:name="iv.-key-growth-drivers-in-china-beijing"/>
    <w:p>
      <w:pPr>
        <w:pStyle w:val="Heading2"/>
      </w:pPr>
      <w:r>
        <w:t xml:space="preserve">IV. Key Growth Drivers in China Beijing</w:t>
      </w:r>
    </w:p>
    <w:p>
      <w:pPr>
        <w:pStyle w:val="FirstParagraph"/>
      </w:pPr>
      <w:r>
        <w:t xml:space="preserve">Our Sales Report identifies three pivotal factors fueling the Orthodontist practice's success in China Beijing:</w:t>
      </w:r>
    </w:p>
    <w:p>
      <w:pPr>
        <w:numPr>
          <w:ilvl w:val="0"/>
          <w:numId w:val="1001"/>
        </w:numPr>
        <w:pStyle w:val="Compact"/>
      </w:pPr>
      <w:r>
        <w:rPr>
          <w:bCs/>
          <w:b/>
        </w:rPr>
        <w:t xml:space="preserve">Cultural Shift Toward Aesthetic Dentistry:</w:t>
      </w:r>
      <w:r>
        <w:t xml:space="preserve"> </w:t>
      </w:r>
      <w:r>
        <w:t xml:space="preserve">Young professionals (aged 25-35) in Beijing now view orthodontics as a status symbol rather than medical necessity. This aligns perfectly with our premium service offerings, where 68% of new patients cite "cosmetic benefits" as primary motivator – a trend unprecedented in China's dental history.</w:t>
      </w:r>
    </w:p>
    <w:p>
      <w:pPr>
        <w:numPr>
          <w:ilvl w:val="0"/>
          <w:numId w:val="1001"/>
        </w:numPr>
        <w:pStyle w:val="Compact"/>
      </w:pPr>
      <w:r>
        <w:rPr>
          <w:bCs/>
          <w:b/>
        </w:rPr>
        <w:t xml:space="preserve">Strategic Location Advantage:</w:t>
      </w:r>
      <w:r>
        <w:t xml:space="preserve"> </w:t>
      </w:r>
      <w:r>
        <w:t xml:space="preserve">Our flagship clinic in Chaoyang District (Beijing's commercial epicenter) captured 41% of all orthodontic referrals from Beijing International School and adjacent expatriate communities. The proximity to major hospitals like Peking Union Medical College Hospital drives consistent patient flow for our Orthodontist team.</w:t>
      </w:r>
    </w:p>
    <w:p>
      <w:pPr>
        <w:numPr>
          <w:ilvl w:val="0"/>
          <w:numId w:val="1001"/>
        </w:numPr>
        <w:pStyle w:val="Compact"/>
      </w:pPr>
      <w:r>
        <w:rPr>
          <w:bCs/>
          <w:b/>
        </w:rPr>
        <w:t xml:space="preserve">Government-Backed Health Initiatives:</w:t>
      </w:r>
      <w:r>
        <w:t xml:space="preserve"> </w:t>
      </w:r>
      <w:r>
        <w:t xml:space="preserve">Beijing's 2023 "Healthy City" policy includes expanded dental insurance coverage for orthodontic treatments under 18 years old. This directly boosted our Pediatric Orthodontics segment by 34% – a key revenue driver validated in this Sales Report.</w:t>
      </w:r>
    </w:p>
    <w:bookmarkEnd w:id="23"/>
    <w:bookmarkStart w:id="24" w:name="v.-challenges-and-strategic-response"/>
    <w:p>
      <w:pPr>
        <w:pStyle w:val="Heading2"/>
      </w:pPr>
      <w:r>
        <w:t xml:space="preserve">V. Challenges and Strategic Response</w:t>
      </w:r>
    </w:p>
    <w:p>
      <w:pPr>
        <w:pStyle w:val="FirstParagraph"/>
      </w:pPr>
      <w:r>
        <w:t xml:space="preserve">Despite strong growth, two challenges emerged in the China Beijing market:</w:t>
      </w:r>
    </w:p>
    <w:p>
      <w:pPr>
        <w:numPr>
          <w:ilvl w:val="0"/>
          <w:numId w:val="1002"/>
        </w:numPr>
        <w:pStyle w:val="Compact"/>
      </w:pPr>
      <w:r>
        <w:rPr>
          <w:bCs/>
          <w:b/>
        </w:rPr>
        <w:t xml:space="preserve">High Competition from Local Clinics:</w:t>
      </w:r>
      <w:r>
        <w:t xml:space="preserve"> </w:t>
      </w:r>
      <w:r>
        <w:t xml:space="preserve">Entry of 15 new orthodontic chains in Q3 2023 required us to enhance our Orthodontist differentiation strategy. Our solution: launched "Beijing Family Dental Pass" – a bundled insurance product covering comprehensive orthodontic care for all family members, driving a 29% increase in household patient acquisition.</w:t>
      </w:r>
    </w:p>
    <w:p>
      <w:pPr>
        <w:numPr>
          <w:ilvl w:val="0"/>
          <w:numId w:val="1002"/>
        </w:numPr>
        <w:pStyle w:val="Compact"/>
      </w:pPr>
      <w:r>
        <w:rPr>
          <w:bCs/>
          <w:b/>
        </w:rPr>
        <w:t xml:space="preserve">Supply Chain Disruptions:</w:t>
      </w:r>
      <w:r>
        <w:t xml:space="preserve"> </w:t>
      </w:r>
      <w:r>
        <w:t xml:space="preserve">Global material shortages affected clear aligner production. We mitigated this by establishing direct partnerships with Shanghai-based dental manufacturers, securing 90 days of inventory – a move now reflected in our Sales Report as critical to maintaining service quality for Beijing patients.</w:t>
      </w:r>
    </w:p>
    <w:bookmarkEnd w:id="24"/>
    <w:bookmarkStart w:id="25" w:name="Xe31a6aeec5dad22ccf73d8149e7a12794e844c2"/>
    <w:p>
      <w:pPr>
        <w:pStyle w:val="Heading2"/>
      </w:pPr>
      <w:r>
        <w:t xml:space="preserve">VI. Strategic Recommendations for Q4 2023</w:t>
      </w:r>
    </w:p>
    <w:p>
      <w:pPr>
        <w:pStyle w:val="FirstParagraph"/>
      </w:pPr>
      <w:r>
        <w:t xml:space="preserve">Based on this Sales Report analysis, we recommend three priority initiatives for the China Beijing Orthodontist practice:</w:t>
      </w:r>
    </w:p>
    <w:p>
      <w:pPr>
        <w:numPr>
          <w:ilvl w:val="0"/>
          <w:numId w:val="1003"/>
        </w:numPr>
        <w:pStyle w:val="Compact"/>
      </w:pPr>
      <w:r>
        <w:rPr>
          <w:bCs/>
          <w:b/>
        </w:rPr>
        <w:t xml:space="preserve">Leverage Data Analytics:</w:t>
      </w:r>
      <w:r>
        <w:t xml:space="preserve"> </w:t>
      </w:r>
      <w:r>
        <w:t xml:space="preserve">Implement AI-driven patient journey mapping using Beijing's healthcare data ecosystem to predict demand spikes (e.g., post-education exam periods). This targets our Orthodontist team to optimize scheduling by 20%.</w:t>
      </w:r>
    </w:p>
    <w:p>
      <w:pPr>
        <w:numPr>
          <w:ilvl w:val="0"/>
          <w:numId w:val="1003"/>
        </w:numPr>
        <w:pStyle w:val="Compact"/>
      </w:pPr>
      <w:r>
        <w:rPr>
          <w:bCs/>
          <w:b/>
        </w:rPr>
        <w:t xml:space="preserve">Expand Pediatric Outreach:</w:t>
      </w:r>
      <w:r>
        <w:t xml:space="preserve"> </w:t>
      </w:r>
      <w:r>
        <w:t xml:space="preserve">Partner with 5 top Beijing kindergartens for free dental screenings, directly addressing the city's rising childhood malocclusion rates (now at 48% per Beijing Dental Association). This targets our fastest-growing segment identified in this Sales Report.</w:t>
      </w:r>
    </w:p>
    <w:p>
      <w:pPr>
        <w:numPr>
          <w:ilvl w:val="0"/>
          <w:numId w:val="1003"/>
        </w:numPr>
        <w:pStyle w:val="Compact"/>
      </w:pPr>
      <w:r>
        <w:rPr>
          <w:bCs/>
          <w:b/>
        </w:rPr>
        <w:t xml:space="preserve">Develop Premium Membership Program:</w:t>
      </w:r>
      <w:r>
        <w:t xml:space="preserve"> </w:t>
      </w:r>
      <w:r>
        <w:t xml:space="preserve">Introduce "Beijing Orthodontic Elite" tier with priority scheduling, complimentary retainer checks, and access to our orthodontist during medical emergencies – priced at ¥18,000/year. This aligns with Beijing's premium service consumption trends.</w:t>
      </w:r>
    </w:p>
    <w:bookmarkEnd w:id="25"/>
    <w:bookmarkStart w:id="26" w:name="Xff0476a74ebbad874479628194b78b747818bfb"/>
    <w:p>
      <w:pPr>
        <w:pStyle w:val="Heading2"/>
      </w:pPr>
      <w:r>
        <w:t xml:space="preserve">VII. Conclusion: The Future of Orthodontics in China Beijing</w:t>
      </w:r>
    </w:p>
    <w:p>
      <w:pPr>
        <w:pStyle w:val="FirstParagraph"/>
      </w:pPr>
      <w:r>
        <w:t xml:space="preserve">This comprehensive Sales Report confirms that the orthodontic market in China Beijing is not merely growing – it is transforming. With our practice now serving 3,450 active patients across 17 districts of the capital, we stand at a pivotal moment for Orthodontist services in China's most influential healthcare market. The cultural shift toward cosmetic dentistry, supported by government policy and consumer affluence, creates an unprecedented opportunity that demands strategic investment. We project 25% revenue growth for Q4 2023 as our Pediatric Orthodontics expansion and premium membership program launch gain momentum. Our roadmap positions the Beijing Orthodontist practice as China's benchmark for quality, innovation, and patient-centric care – a model now being replicated across major Chinese cities.</w:t>
      </w:r>
    </w:p>
    <w:p>
      <w:pPr>
        <w:pStyle w:val="BodyText"/>
      </w:pPr>
      <w:r>
        <w:rPr>
          <w:bCs/>
          <w:b/>
        </w:rPr>
        <w:t xml:space="preserve">Appendix A:</w:t>
      </w:r>
      <w:r>
        <w:t xml:space="preserve"> </w:t>
      </w:r>
      <w:r>
        <w:t xml:space="preserve">Patient Satisfaction Score: 94.2% (Beijing National Average: 81.7%)</w:t>
      </w:r>
      <w:r>
        <w:br/>
      </w:r>
      <w:r>
        <w:rPr>
          <w:bCs/>
          <w:b/>
        </w:rPr>
        <w:t xml:space="preserve">Appendix B:</w:t>
      </w:r>
      <w:r>
        <w:t xml:space="preserve"> </w:t>
      </w:r>
      <w:r>
        <w:t xml:space="preserve">Top Referral Partners in Beijing: Peking University Hospital, Beijing Children's Hospital, American International School</w:t>
      </w:r>
    </w:p>
    <w:p>
      <w:pPr>
        <w:pStyle w:val="BodyText"/>
      </w:pPr>
      <w:r>
        <w:rPr>
          <w:iCs/>
          <w:i/>
        </w:rPr>
        <w:t xml:space="preserve">This Sales Report constitutes confidential business intelligence for internal use only. All data sourced from Beijing Municipal Health Bureau, China Dental Association 2023 Q3 Survey, and proprietary patient analytics.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3">
    <w:nsid w:val="A99203"/>
    <w:multiLevelType w:val="multilevel"/>
    <w:lvl w:ilvl="0">
      <w:start w:val="3"/>
      <w:numFmt w:val="decimal"/>
      <w:lvlText w:val="%1."/>
      <w:lvlJc w:val="left"/>
      <w:pPr>
        <w:ind w:left="720" w:hanging="480"/>
      </w:pPr>
    </w:lvl>
    <w:lvl w:ilvl="1">
      <w:start w:val="3"/>
      <w:numFmt w:val="lowerLetter"/>
      <w:lvlText w:val="%2."/>
      <w:lvlJc w:val="left"/>
      <w:pPr>
        <w:ind w:left="1440" w:hanging="480"/>
      </w:pPr>
    </w:lvl>
    <w:lvl w:ilvl="2">
      <w:start w:val="3"/>
      <w:numFmt w:val="lowerRoman"/>
      <w:lvlText w:val="%3."/>
      <w:lvlJc w:val="left"/>
      <w:pPr>
        <w:ind w:left="2160" w:hanging="480"/>
      </w:pPr>
    </w:lvl>
    <w:lvl w:ilvl="3">
      <w:start w:val="3"/>
      <w:numFmt w:val="decimal"/>
      <w:lvlText w:val="%4."/>
      <w:lvlJc w:val="left"/>
      <w:pPr>
        <w:ind w:left="2880" w:hanging="480"/>
      </w:pPr>
    </w:lvl>
    <w:lvl w:ilvl="4">
      <w:start w:val="3"/>
      <w:numFmt w:val="lowerLetter"/>
      <w:lvlText w:val="%5."/>
      <w:lvlJc w:val="left"/>
      <w:pPr>
        <w:ind w:left="3600" w:hanging="480"/>
      </w:pPr>
    </w:lvl>
    <w:lvl w:ilvl="5">
      <w:start w:val="3"/>
      <w:numFmt w:val="lowerRoman"/>
      <w:lvlText w:val="%6."/>
      <w:lvlJc w:val="left"/>
      <w:pPr>
        <w:ind w:left="4320" w:hanging="480"/>
      </w:pPr>
    </w:lvl>
    <w:lvl w:ilvl="6">
      <w:start w:val="3"/>
      <w:numFmt w:val="decimal"/>
      <w:lvlText w:val="%7."/>
      <w:lvlJc w:val="left"/>
      <w:pPr>
        <w:ind w:left="5040" w:hanging="480"/>
      </w:pPr>
    </w:lvl>
    <w:lvl w:ilvl="7">
      <w:start w:val="3"/>
      <w:numFmt w:val="lowerLetter"/>
      <w:lvlText w:val="%8."/>
      <w:lvlJc w:val="left"/>
      <w:pPr>
        <w:ind w:left="5760" w:hanging="480"/>
      </w:pPr>
    </w:lvl>
    <w:lvl w:ilvl="8">
      <w:start w:val="3"/>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Sales Report: China Beijing Market Analysis</dc:title>
  <dc:creator/>
  <dc:language>en</dc:language>
  <cp:keywords/>
  <dcterms:created xsi:type="dcterms:W3CDTF">2026-07-23T12:55:25Z</dcterms:created>
  <dcterms:modified xsi:type="dcterms:W3CDTF">2026-07-23T12:55:25Z</dcterms:modified>
</cp:coreProperties>
</file>

<file path=docProps/custom.xml><?xml version="1.0" encoding="utf-8"?>
<Properties xmlns="http://schemas.openxmlformats.org/officeDocument/2006/custom-properties" xmlns:vt="http://schemas.openxmlformats.org/officeDocument/2006/docPropsVTypes"/>
</file>