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Bogotá</w:t>
      </w:r>
      <w:r>
        <w:t xml:space="preserve"> </w:t>
      </w:r>
      <w:r>
        <w:t xml:space="preserve">Market</w:t>
      </w:r>
    </w:p>
    <w:bookmarkStart w:id="29" w:name="X7c4b4cbcfee5cd88a1dd5610a40d2727ad4ac65"/>
    <w:p>
      <w:pPr>
        <w:pStyle w:val="Heading1"/>
      </w:pPr>
      <w:r>
        <w:t xml:space="preserve">Sales Report: Orthodontic Practice Performance in Colombia Bogotá (Q3 2023)</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Strategic Sales Analytics Division</w:t>
      </w:r>
    </w:p>
    <w:bookmarkStart w:id="20" w:name="i.-executive-summary"/>
    <w:p>
      <w:pPr>
        <w:pStyle w:val="Heading2"/>
      </w:pPr>
      <w:r>
        <w:t xml:space="preserve">I. Executive Summary</w:t>
      </w:r>
    </w:p>
    <w:p>
      <w:pPr>
        <w:pStyle w:val="FirstParagraph"/>
      </w:pPr>
      <w:r>
        <w:t xml:space="preserve">This comprehensive Sales Report details the performance of our orthodontic services across Colombia Bogotá during Q3 2023. The report confirms sustained growth in patient acquisition and revenue, driven by strategic market positioning within Bogotá's competitive dental landscape. Our practice achieved a 19% year-over-year increase in total sales volume, reaching COP $845 million (approx. $217,000 USD), with orthodontic treatment packages contributing 78% of total revenue. This success underscores the critical importance of localized service adaptation within Colombia Bogotá's unique healthcare ecosystem.</w:t>
      </w:r>
    </w:p>
    <w:bookmarkEnd w:id="20"/>
    <w:bookmarkStart w:id="21" w:name="X6487c48042c06ac120167ee23a37bb5cdba8b66"/>
    <w:p>
      <w:pPr>
        <w:pStyle w:val="Heading2"/>
      </w:pPr>
      <w:r>
        <w:t xml:space="preserve">II. Market Analysis: Orthodontist Sector in Colombia Bogotá</w:t>
      </w:r>
    </w:p>
    <w:p>
      <w:pPr>
        <w:pStyle w:val="FirstParagraph"/>
      </w:pPr>
      <w:r>
        <w:t xml:space="preserve">Bogotá represents the epicenter of orthodontic demand in Colombia, housing 35% of the nation's dental specialists and serving a population of over 8 million residents. Recent data from the Colombian Dental Association (2023) indicates a 14% annual growth in orthodontic procedures citywide, with Bogotá driving this trend through rising middle-class disposable income and increased health insurance coverage (EPS). Key market shifts influencing our Sales Report include:</w:t>
      </w:r>
    </w:p>
    <w:p>
      <w:pPr>
        <w:numPr>
          <w:ilvl w:val="0"/>
          <w:numId w:val="1001"/>
        </w:numPr>
        <w:pStyle w:val="Compact"/>
      </w:pPr>
      <w:r>
        <w:rPr>
          <w:bCs/>
          <w:b/>
        </w:rPr>
        <w:t xml:space="preserve">Demographic Shifts:</w:t>
      </w:r>
      <w:r>
        <w:t xml:space="preserve"> </w:t>
      </w:r>
      <w:r>
        <w:t xml:space="preserve">62% of new patients are adolescents aged 12-17, concentrated in affluent neighborhoods like Chapinero and La Cabrera.</w:t>
      </w:r>
    </w:p>
    <w:p>
      <w:pPr>
        <w:numPr>
          <w:ilvl w:val="0"/>
          <w:numId w:val="1001"/>
        </w:numPr>
        <w:pStyle w:val="Compact"/>
      </w:pPr>
      <w:r>
        <w:rPr>
          <w:bCs/>
          <w:b/>
        </w:rPr>
        <w:t xml:space="preserve">Treatment Preference Evolution:</w:t>
      </w:r>
      <w:r>
        <w:t xml:space="preserve"> </w:t>
      </w:r>
      <w:r>
        <w:t xml:space="preserve">Clear aligners (Invisalign, Candid) now account for 58% of new cases (up from 42% YoY), reflecting Bogotá's youth-driven market trend toward aesthetic solutions.</w:t>
      </w:r>
    </w:p>
    <w:p>
      <w:pPr>
        <w:numPr>
          <w:ilvl w:val="0"/>
          <w:numId w:val="1001"/>
        </w:numPr>
        <w:pStyle w:val="Compact"/>
      </w:pPr>
      <w:r>
        <w:rPr>
          <w:bCs/>
          <w:b/>
        </w:rPr>
        <w:t xml:space="preserve">Insurance Integration:</w:t>
      </w:r>
      <w:r>
        <w:t xml:space="preserve"> </w:t>
      </w:r>
      <w:r>
        <w:t xml:space="preserve">Partnerships with major EPS providers (Sura, NuevaEPS) have increased covered patients by 31%, directly impacting our sales pipeline in Colombia Bogotá.</w:t>
      </w:r>
    </w:p>
    <w:bookmarkEnd w:id="21"/>
    <w:bookmarkStart w:id="22" w:name="X0248347e24d9675c3d8cd81708e9e3bfe4329a1"/>
    <w:p>
      <w:pPr>
        <w:pStyle w:val="Heading2"/>
      </w:pPr>
      <w:r>
        <w:t xml:space="preserve">III. Performance Metrics: Sales Report Breakdown</w:t>
      </w:r>
    </w:p>
    <w:p>
      <w:pPr>
        <w:pStyle w:val="FirstParagraph"/>
      </w:pPr>
      <w:r>
        <w:t xml:space="preserve">The following table summarizes key orthodontic service performance in Colombia Bogotá for Q3 2023:</w:t>
      </w:r>
    </w:p>
    <w:p>
      <w:pPr>
        <w:pStyle w:val="BodyText"/>
      </w:pPr>
      <w:r>
        <w:t xml:space="preserve">Service Type</w:t>
      </w:r>
    </w:p>
    <w:p>
      <w:pPr>
        <w:pStyle w:val="BodyText"/>
      </w:pPr>
      <w:r>
        <w:t xml:space="preserve">% of Total Sales</w:t>
      </w:r>
    </w:p>
    <w:p>
      <w:pPr>
        <w:pStyle w:val="BodyText"/>
      </w:pPr>
      <w:r>
        <w:t xml:space="preserve">Avg. Treatment Cost (COP)</w:t>
      </w:r>
    </w:p>
    <w:p>
      <w:pPr>
        <w:pStyle w:val="BodyText"/>
      </w:pPr>
      <w:r>
        <w:t xml:space="preserve">Movement vs. Q2 2023</w:t>
      </w:r>
    </w:p>
    <w:p>
      <w:pPr>
        <w:pStyle w:val="BodyText"/>
      </w:pPr>
      <w:r>
        <w:t xml:space="preserve">Traditional Metal Braces</w:t>
      </w:r>
    </w:p>
    <w:p>
      <w:pPr>
        <w:pStyle w:val="BodyText"/>
      </w:pPr>
      <w:r>
        <w:t xml:space="preserve">38%</w:t>
      </w:r>
    </w:p>
    <w:p>
      <w:pPr>
        <w:pStyle w:val="BodyText"/>
      </w:pPr>
      <w:r>
        <w:t xml:space="preserve">575,000</w:t>
      </w:r>
    </w:p>
    <w:p>
      <w:pPr>
        <w:pStyle w:val="BodyText"/>
      </w:pPr>
      <w:r>
        <w:t xml:space="preserve">-4% (due to aligner shift)</w:t>
      </w:r>
    </w:p>
    <w:p>
      <w:pPr>
        <w:pStyle w:val="BodyText"/>
      </w:pPr>
      <w:r>
        <w:t xml:space="preserve">Clear Aligners (Invisalign/Candid)</w:t>
      </w:r>
    </w:p>
    <w:p>
      <w:pPr>
        <w:pStyle w:val="BodyText"/>
      </w:pPr>
      <w:r>
        <w:t xml:space="preserve">42%</w:t>
      </w:r>
    </w:p>
    <w:p>
      <w:pPr>
        <w:pStyle w:val="BodyText"/>
      </w:pPr>
      <w:r>
        <w:rPr>
          <w:iCs/>
          <w:i/>
          <w:bCs/>
          <w:b/>
        </w:rPr>
        <w:t xml:space="preserve">COP 852,000</w:t>
      </w:r>
    </w:p>
    <w:p>
      <w:pPr>
        <w:pStyle w:val="BodyText"/>
      </w:pPr>
      <w:r>
        <w:t xml:space="preserve">+23% (most significant growth driver)</w:t>
      </w:r>
    </w:p>
    <w:p>
      <w:pPr>
        <w:pStyle w:val="BodyText"/>
      </w:pPr>
      <w:r>
        <w:t xml:space="preserve">Early Intervention (Phase I)</w:t>
      </w:r>
    </w:p>
    <w:p>
      <w:pPr>
        <w:pStyle w:val="BodyText"/>
      </w:pPr>
      <w:r>
        <w:t xml:space="preserve">12%</w:t>
      </w:r>
    </w:p>
    <w:p>
      <w:pPr>
        <w:pStyle w:val="BodyText"/>
      </w:pPr>
      <w:r>
        <w:t xml:space="preserve">315,000</w:t>
      </w:r>
    </w:p>
    <w:p>
      <w:pPr>
        <w:pStyle w:val="BodyText"/>
      </w:pPr>
      <w:r>
        <w:t xml:space="preserve">+8%</w:t>
      </w:r>
    </w:p>
    <w:p>
      <w:pPr>
        <w:pStyle w:val="BodyText"/>
      </w:pPr>
      <w:r>
        <w:t xml:space="preserve">Total Orthodontic Sales</w:t>
      </w:r>
    </w:p>
    <w:p>
      <w:pPr>
        <w:pStyle w:val="BodyText"/>
      </w:pPr>
      <w:r>
        <w:t xml:space="preserve">100%</w:t>
      </w:r>
    </w:p>
    <w:p>
      <w:pPr>
        <w:pStyle w:val="BodyText"/>
      </w:pPr>
      <w:r>
        <w:rPr>
          <w:iCs/>
          <w:i/>
        </w:rPr>
        <w:t xml:space="preserve">Avg. COP 642,500</w:t>
      </w:r>
    </w:p>
    <w:p>
      <w:pPr>
        <w:pStyle w:val="BodyText"/>
      </w:pPr>
      <w:r>
        <w:rPr>
          <w:iCs/>
          <w:i/>
        </w:rPr>
        <w:t xml:space="preserve">+19% YoY</w:t>
      </w:r>
    </w:p>
    <w:p>
      <w:pPr>
        <w:pStyle w:val="BodyText"/>
      </w:pPr>
      <w:r>
        <w:t xml:space="preserve">The dominance of clear aligners in our Colombia Bogotá Sales Report is particularly noteworthy. This trend aligns with urban youth preferences in Bogotá, where aesthetic concerns significantly influence treatment decisions. Our sales team strategically deployed targeted social media campaigns (Instagram/Facebook) focused on "Bogotá Teens" and "Career-Ready Smiles," directly contributing to the 23% quarterly growth in clear aligner conversions.</w:t>
      </w:r>
    </w:p>
    <w:bookmarkEnd w:id="22"/>
    <w:bookmarkStart w:id="23" w:name="X645418a0e67c73355ba493d078e3c2092dae24f"/>
    <w:p>
      <w:pPr>
        <w:pStyle w:val="Heading2"/>
      </w:pPr>
      <w:r>
        <w:t xml:space="preserve">IV. Regional Performance: Colombia Bogotá District Analysis</w:t>
      </w:r>
    </w:p>
    <w:p>
      <w:pPr>
        <w:pStyle w:val="FirstParagraph"/>
      </w:pPr>
      <w:r>
        <w:t xml:space="preserve">Sales distribution across Bogotá's districts reveals critical insights for our orthodontist practice:</w:t>
      </w:r>
    </w:p>
    <w:p>
      <w:pPr>
        <w:numPr>
          <w:ilvl w:val="0"/>
          <w:numId w:val="1002"/>
        </w:numPr>
        <w:pStyle w:val="Compact"/>
      </w:pPr>
      <w:r>
        <w:rPr>
          <w:bCs/>
          <w:b/>
        </w:rPr>
        <w:t xml:space="preserve">Southern Districts (Fontibón, Bosa):</w:t>
      </w:r>
      <w:r>
        <w:t xml:space="preserve"> </w:t>
      </w:r>
      <w:r>
        <w:t xml:space="preserve">28% of total patients; highest growth potential (+31% YoY) due to expanding middle-income families. Requires targeted outreach via community health centers.</w:t>
      </w:r>
    </w:p>
    <w:p>
      <w:pPr>
        <w:numPr>
          <w:ilvl w:val="0"/>
          <w:numId w:val="1002"/>
        </w:numPr>
        <w:pStyle w:val="Compact"/>
      </w:pPr>
      <w:r>
        <w:rPr>
          <w:bCs/>
          <w:b/>
        </w:rPr>
        <w:t xml:space="preserve">Northern Districts (Chapinero, La Candelaria):</w:t>
      </w:r>
      <w:r>
        <w:t xml:space="preserve"> </w:t>
      </w:r>
      <w:r>
        <w:t xml:space="preserve">45% of revenue; premium service demand (aligners, expedited treatment). Patients show higher willingness for premium pricing (+17% above city average).</w:t>
      </w:r>
    </w:p>
    <w:p>
      <w:pPr>
        <w:numPr>
          <w:ilvl w:val="0"/>
          <w:numId w:val="1002"/>
        </w:numPr>
        <w:pStyle w:val="Compact"/>
      </w:pPr>
      <w:r>
        <w:rPr>
          <w:bCs/>
          <w:b/>
        </w:rPr>
        <w:t xml:space="preserve">Eastern Corridor (Usaquén, Kennedy):</w:t>
      </w:r>
      <w:r>
        <w:t xml:space="preserve"> </w:t>
      </w:r>
      <w:r>
        <w:t xml:space="preserve">27% of volume; strongest referral network via pediatric dentists. Key area for expanding family package sales.</w:t>
      </w:r>
    </w:p>
    <w:bookmarkEnd w:id="23"/>
    <w:bookmarkStart w:id="26" w:name="v.-critical-challenges-strategic-actions"/>
    <w:p>
      <w:pPr>
        <w:pStyle w:val="Heading2"/>
      </w:pPr>
      <w:r>
        <w:t xml:space="preserve">V. Critical Challenges &amp; Strategic Actions</w:t>
      </w:r>
    </w:p>
    <w:p>
      <w:pPr>
        <w:pStyle w:val="FirstParagraph"/>
      </w:pPr>
      <w:r>
        <w:t xml:space="preserve">This Sales Report identifies two pressing challenges specific to orthodontist operations in Colombia Bogotá:</w:t>
      </w:r>
    </w:p>
    <w:bookmarkStart w:id="24" w:name="Xb580fb3df4e8c5bc02e8f5e66b5ba9337458e80"/>
    <w:p>
      <w:pPr>
        <w:pStyle w:val="Heading3"/>
      </w:pPr>
      <w:r>
        <w:t xml:space="preserve">A. Patient Acquisition Costs in Bogotá's Competitive Market</w:t>
      </w:r>
    </w:p>
    <w:p>
      <w:pPr>
        <w:pStyle w:val="FirstParagraph"/>
      </w:pPr>
      <w:r>
        <w:t xml:space="preserve">Customer acquisition costs rose 18% due to intensified marketing competition across key districts. Our action plan includes:</w:t>
      </w:r>
    </w:p>
    <w:p>
      <w:pPr>
        <w:numPr>
          <w:ilvl w:val="0"/>
          <w:numId w:val="1003"/>
        </w:numPr>
        <w:pStyle w:val="Compact"/>
      </w:pPr>
      <w:r>
        <w:t xml:space="preserve">Developing a referral partnership program with 20+ local pediatric clinics across Bogotá.</w:t>
      </w:r>
    </w:p>
    <w:p>
      <w:pPr>
        <w:numPr>
          <w:ilvl w:val="0"/>
          <w:numId w:val="1003"/>
        </w:numPr>
        <w:pStyle w:val="Compact"/>
      </w:pPr>
      <w:r>
        <w:t xml:space="preserve">Leveraging Colombia's new Dental Insurance Law (Law 1976 of 2019) to simplify EPS billing for orthodontic services, reducing patient friction points.</w:t>
      </w:r>
    </w:p>
    <w:bookmarkEnd w:id="24"/>
    <w:bookmarkStart w:id="25" w:name="X8c27521a19e184f60f8ff1f9aff8919e18a7e94"/>
    <w:p>
      <w:pPr>
        <w:pStyle w:val="Heading3"/>
      </w:pPr>
      <w:r>
        <w:t xml:space="preserve">B. Treatment Completion Rates in Urban Settings</w:t>
      </w:r>
    </w:p>
    <w:p>
      <w:pPr>
        <w:pStyle w:val="FirstParagraph"/>
      </w:pPr>
      <w:r>
        <w:t xml:space="preserve">Traffic congestion in Bogotá causes a 15% no-show rate for appointments. To address this:</w:t>
      </w:r>
    </w:p>
    <w:p>
      <w:pPr>
        <w:numPr>
          <w:ilvl w:val="0"/>
          <w:numId w:val="1004"/>
        </w:numPr>
        <w:pStyle w:val="Compact"/>
      </w:pPr>
      <w:r>
        <w:t xml:space="preserve">Implementing "Bogotá Flexi-Scheduling": Virtual consultations via WhatsApp for initial screenings and SMS reminders with real-time traffic updates.</w:t>
      </w:r>
    </w:p>
    <w:p>
      <w:pPr>
        <w:numPr>
          <w:ilvl w:val="0"/>
          <w:numId w:val="1004"/>
        </w:numPr>
        <w:pStyle w:val="Compact"/>
      </w:pPr>
      <w:r>
        <w:t xml:space="preserve">Introducing payment plans in collaboration with local banks (Bancolombia, Davivienda) to reduce upfront financial barriers.</w:t>
      </w:r>
    </w:p>
    <w:bookmarkEnd w:id="25"/>
    <w:bookmarkEnd w:id="26"/>
    <w:bookmarkStart w:id="27" w:name="Xb3b67fc5f61da99edb1578f7075b91a98825ffb"/>
    <w:p>
      <w:pPr>
        <w:pStyle w:val="Heading2"/>
      </w:pPr>
      <w:r>
        <w:t xml:space="preserve">VI. Forward-Looking Sales Strategy for Colombia Bogotá</w:t>
      </w:r>
    </w:p>
    <w:p>
      <w:pPr>
        <w:pStyle w:val="FirstParagraph"/>
      </w:pPr>
      <w:r>
        <w:t xml:space="preserve">Based on this Sales Report, our orthodontist practice in Colombia Bogotá will prioritize:</w:t>
      </w:r>
    </w:p>
    <w:p>
      <w:pPr>
        <w:numPr>
          <w:ilvl w:val="0"/>
          <w:numId w:val="1005"/>
        </w:numPr>
        <w:pStyle w:val="Compact"/>
      </w:pPr>
      <w:r>
        <w:rPr>
          <w:bCs/>
          <w:b/>
        </w:rPr>
        <w:t xml:space="preserve">Expanding Clear Aligner Service Capacity:</w:t>
      </w:r>
      <w:r>
        <w:t xml:space="preserve"> </w:t>
      </w:r>
      <w:r>
        <w:t xml:space="preserve">Allocating 60% of new investment to aligner-specific training and equipment for Q4 2023.</w:t>
      </w:r>
    </w:p>
    <w:p>
      <w:pPr>
        <w:numPr>
          <w:ilvl w:val="0"/>
          <w:numId w:val="1005"/>
        </w:numPr>
        <w:pStyle w:val="Compact"/>
      </w:pPr>
      <w:r>
        <w:rPr>
          <w:bCs/>
          <w:b/>
        </w:rPr>
        <w:t xml:space="preserve">District-Specific Marketing Campaigns:</w:t>
      </w:r>
      <w:r>
        <w:t xml:space="preserve"> </w:t>
      </w:r>
      <w:r>
        <w:t xml:space="preserve">Launching "Bogotá Smiles Project" with localized content for southern districts (e.g., "Affordable Orthodontics in Bosa") and premium branding for northern clients.</w:t>
      </w:r>
    </w:p>
    <w:p>
      <w:pPr>
        <w:numPr>
          <w:ilvl w:val="0"/>
          <w:numId w:val="1005"/>
        </w:numPr>
        <w:pStyle w:val="Compact"/>
      </w:pPr>
      <w:r>
        <w:rPr>
          <w:bCs/>
          <w:b/>
        </w:rPr>
        <w:t xml:space="preserve">EPS Partnership Expansion:</w:t>
      </w:r>
      <w:r>
        <w:t xml:space="preserve"> </w:t>
      </w:r>
      <w:r>
        <w:t xml:space="preserve">Targeting 10 new EPS contracts by December 2023 to capture under-served segments within Colombia's public health system.</w:t>
      </w:r>
    </w:p>
    <w:bookmarkEnd w:id="27"/>
    <w:bookmarkStart w:id="28" w:name="vii.-conclusion"/>
    <w:p>
      <w:pPr>
        <w:pStyle w:val="Heading2"/>
      </w:pPr>
      <w:r>
        <w:t xml:space="preserve">VII. Conclusion</w:t>
      </w:r>
    </w:p>
    <w:p>
      <w:pPr>
        <w:pStyle w:val="FirstParagraph"/>
      </w:pPr>
      <w:r>
        <w:t xml:space="preserve">This Sales Report confirms that our orthodontist practice in Colombia Bogotá is successfully navigating market dynamics through localized strategy and service innovation. The 19% YoY growth demonstrates strong alignment with Bogotá's evolving dental needs, particularly among youth seeking aesthetic solutions. We project Q4 2023 revenue to reach COP $950 million ($245,000 USD), driven by our strategic focus on clear aligners, district-specific outreach, and insurance integration. As Colombia continues its healthcare modernization journey, our practice remains positioned as a leading orthodontic service provider in Bogotá—where patient-centric care meets market-savvy sales execution. The success documented in this Sales Report directly validates our commitment to excellence within the Colombian dental sector.</w:t>
      </w:r>
    </w:p>
    <w:p>
      <w:pPr>
        <w:pStyle w:val="BodyText"/>
      </w:pPr>
      <w:r>
        <w:rPr>
          <w:bCs/>
          <w:b/>
        </w:rPr>
        <w:t xml:space="preserve">Key Metric Recap:</w:t>
      </w:r>
      <w:r>
        <w:t xml:space="preserve"> </w:t>
      </w:r>
      <w:r>
        <w:t xml:space="preserve">Orthodontic Revenue Growth (19% YoY), Clear Aligners as Primary Revenue Driver (58% of new cases), Bogotá District Penetration Strategy Driving 75% of New Patients.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Colombia Bogotá Market</dc:title>
  <dc:creator/>
  <dc:language>en</dc:language>
  <cp:keywords/>
  <dcterms:created xsi:type="dcterms:W3CDTF">2025-12-13T13:01:47Z</dcterms:created>
  <dcterms:modified xsi:type="dcterms:W3CDTF">2025-12-13T13:01:47Z</dcterms:modified>
</cp:coreProperties>
</file>

<file path=docProps/custom.xml><?xml version="1.0" encoding="utf-8"?>
<Properties xmlns="http://schemas.openxmlformats.org/officeDocument/2006/custom-properties" xmlns:vt="http://schemas.openxmlformats.org/officeDocument/2006/docPropsVTypes"/>
</file>