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Practice</w:t>
      </w:r>
      <w:r>
        <w:t xml:space="preserve"> </w:t>
      </w:r>
      <w:r>
        <w:t xml:space="preserve">Performance</w:t>
      </w:r>
      <w:r>
        <w:t xml:space="preserve"> </w:t>
      </w:r>
      <w:r>
        <w:t xml:space="preserve">Report:</w:t>
      </w:r>
      <w:r>
        <w:t xml:space="preserve"> </w:t>
      </w:r>
      <w:r>
        <w:t xml:space="preserve">Berlin</w:t>
      </w:r>
      <w:r>
        <w:t xml:space="preserve"> </w:t>
      </w:r>
      <w:r>
        <w:t xml:space="preserve">Market</w:t>
      </w:r>
      <w:r>
        <w:t xml:space="preserve"> </w:t>
      </w:r>
      <w:r>
        <w:t xml:space="preserve">Analysis</w:t>
      </w:r>
    </w:p>
    <w:bookmarkStart w:id="27" w:name="Xbb806ed0bed6cf6c27b1f98c2779906ab2ca42d"/>
    <w:p>
      <w:pPr>
        <w:pStyle w:val="Heading1"/>
      </w:pPr>
      <w:r>
        <w:t xml:space="preserve">Comprehensive Orthodontic Sales Performance Report: Berlin, Germany (Q2 2024)</w:t>
      </w:r>
    </w:p>
    <w:p>
      <w:pPr>
        <w:pStyle w:val="FirstParagraph"/>
      </w:pPr>
      <w:r>
        <w:rPr>
          <w:bCs/>
          <w:b/>
        </w:rPr>
        <w:t xml:space="preserve">Prepared For:</w:t>
      </w:r>
      <w:r>
        <w:t xml:space="preserve"> </w:t>
      </w:r>
      <w:r>
        <w:t xml:space="preserve">Executive Leadership, Strategic Planning Committee</w:t>
      </w:r>
      <w:r>
        <w:br/>
      </w:r>
      <w:r>
        <w:rPr>
          <w:bCs/>
          <w:b/>
        </w:rPr>
        <w:t xml:space="preserve">Date:</w:t>
      </w:r>
      <w:r>
        <w:t xml:space="preserve"> </w:t>
      </w:r>
      <w:r>
        <w:t xml:space="preserve">July 15, 2024</w:t>
      </w:r>
      <w:r>
        <w:br/>
      </w:r>
      <w:r>
        <w:rPr>
          <w:bCs/>
          <w:b/>
        </w:rPr>
        <w:t xml:space="preserve">Report Period:</w:t>
      </w:r>
      <w:r>
        <w:t xml:space="preserve"> </w:t>
      </w:r>
      <w:r>
        <w:t xml:space="preserve">January 1, 2024 – June 30, 2024</w:t>
      </w:r>
    </w:p>
    <w:bookmarkStart w:id="20" w:name="i.-executive-summary"/>
    <w:p>
      <w:pPr>
        <w:pStyle w:val="Heading2"/>
      </w:pPr>
      <w:r>
        <w:t xml:space="preserve">I. Executive Summary</w:t>
      </w:r>
    </w:p>
    <w:p>
      <w:pPr>
        <w:pStyle w:val="FirstParagraph"/>
      </w:pPr>
      <w:r>
        <w:t xml:space="preserve">This report details the sales performance and strategic market positioning of our orthodontic practice within Berlin's competitive healthcare landscape. As a leading</w:t>
      </w:r>
      <w:r>
        <w:t xml:space="preserve"> </w:t>
      </w:r>
      <w:r>
        <w:rPr>
          <w:iCs/>
          <w:i/>
        </w:rPr>
        <w:t xml:space="preserve">Orthodontist</w:t>
      </w:r>
      <w:r>
        <w:t xml:space="preserve"> </w:t>
      </w:r>
      <w:r>
        <w:t xml:space="preserve">provider serving Germany's capital, we achieved a 19% year-over-year increase in patient acquisition while maintaining industry-leading treatment completion rates (94.3%). Key drivers included targeted digital marketing campaigns, strategic partnerships with Berlin-based pediatric dentists, and adaptation to local insurance frameworks under the German statutory health insurance (GKV) system. The Berlin market's unique demographic profile—characterized by high demand for aesthetic solutions among young professionals and students—has significantly influenced our sales strategy.</w:t>
      </w:r>
    </w:p>
    <w:bookmarkEnd w:id="20"/>
    <w:bookmarkStart w:id="21" w:name="X77b0a28de3dfb137dec1bd7be38f83fddf17741"/>
    <w:p>
      <w:pPr>
        <w:pStyle w:val="Heading2"/>
      </w:pPr>
      <w:r>
        <w:t xml:space="preserve">II. Market Context: Orthodontics in Germany Berlin</w:t>
      </w:r>
    </w:p>
    <w:p>
      <w:pPr>
        <w:pStyle w:val="FirstParagraph"/>
      </w:pPr>
      <w:r>
        <w:t xml:space="preserve">Berlin's orthodontic market serves a population of 3.7 million residents with a median age of 40.5 years, presenting distinct opportunities and challenges:</w:t>
      </w:r>
    </w:p>
    <w:p>
      <w:pPr>
        <w:numPr>
          <w:ilvl w:val="0"/>
          <w:numId w:val="1001"/>
        </w:numPr>
        <w:pStyle w:val="Compact"/>
      </w:pPr>
      <w:r>
        <w:rPr>
          <w:bCs/>
          <w:b/>
        </w:rPr>
        <w:t xml:space="preserve">Demographic Trends:</w:t>
      </w:r>
      <w:r>
        <w:t xml:space="preserve"> </w:t>
      </w:r>
      <w:r>
        <w:t xml:space="preserve">62% of new patients (ages 12-30) prioritize discreet treatment options (Invisalign, ceramic braces), aligning with Berlin's youth-centric culture and professional workforce.</w:t>
      </w:r>
    </w:p>
    <w:p>
      <w:pPr>
        <w:numPr>
          <w:ilvl w:val="0"/>
          <w:numId w:val="1001"/>
        </w:numPr>
        <w:pStyle w:val="Compact"/>
      </w:pPr>
      <w:r>
        <w:rPr>
          <w:bCs/>
          <w:b/>
        </w:rPr>
        <w:t xml:space="preserve">Insurance Landscape:</w:t>
      </w:r>
      <w:r>
        <w:t xml:space="preserve"> </w:t>
      </w:r>
      <w:r>
        <w:t xml:space="preserve">Under German GKV rules, orthodontic coverage for minors is standardized at 80% of base costs. However, cosmetic treatments (e.g., clear aligners) require private supplementary insurance or out-of-pocket payments—creating a significant revenue stream opportunity.</w:t>
      </w:r>
    </w:p>
    <w:p>
      <w:pPr>
        <w:numPr>
          <w:ilvl w:val="0"/>
          <w:numId w:val="1001"/>
        </w:numPr>
        <w:pStyle w:val="Compact"/>
      </w:pPr>
      <w:r>
        <w:rPr>
          <w:bCs/>
          <w:b/>
        </w:rPr>
        <w:t xml:space="preserve">Competition:</w:t>
      </w:r>
      <w:r>
        <w:t xml:space="preserve"> </w:t>
      </w:r>
      <w:r>
        <w:t xml:space="preserve">Berlin hosts 142 orthodontic practices within the city limits, with 38% offering digital smile design consultations—a service we introduced in Q1 2024 to differentiate our practice.</w:t>
      </w:r>
    </w:p>
    <w:bookmarkEnd w:id="21"/>
    <w:bookmarkStart w:id="23" w:name="Xb06362b4e395285d36da38d35a7b0e1c44babf4"/>
    <w:p>
      <w:pPr>
        <w:pStyle w:val="Heading2"/>
      </w:pPr>
      <w:r>
        <w:t xml:space="preserve">III. Sales Performance Metrics (Berlin Focus)</w:t>
      </w:r>
    </w:p>
    <w:p>
      <w:pPr>
        <w:pStyle w:val="FirstParagraph"/>
      </w:pPr>
      <w:r>
        <w:t xml:space="preserve">Metric</w:t>
      </w:r>
    </w:p>
    <w:p>
      <w:pPr>
        <w:pStyle w:val="BodyText"/>
      </w:pPr>
      <w:r>
        <w:t xml:space="preserve">Q2 2023</w:t>
      </w:r>
    </w:p>
    <w:p>
      <w:pPr>
        <w:pStyle w:val="BodyText"/>
      </w:pPr>
      <w:r>
        <w:t xml:space="preserve">Q2 2024</w:t>
      </w:r>
    </w:p>
    <w:p>
      <w:pPr>
        <w:pStyle w:val="BodyText"/>
      </w:pPr>
      <w:r>
        <w:t xml:space="preserve">% Change</w:t>
      </w:r>
    </w:p>
    <w:p>
      <w:pPr>
        <w:pStyle w:val="BodyText"/>
      </w:pPr>
      <w:r>
        <w:t xml:space="preserve">New Patient Acquisitions (Berlin)</w:t>
      </w:r>
    </w:p>
    <w:p>
      <w:pPr>
        <w:pStyle w:val="BodyText"/>
      </w:pPr>
      <w:r>
        <w:t xml:space="preserve">187</w:t>
      </w:r>
    </w:p>
    <w:p>
      <w:pPr>
        <w:pStyle w:val="BodyText"/>
      </w:pPr>
      <w:r>
        <w:t xml:space="preserve">223</w:t>
      </w:r>
    </w:p>
    <w:p>
      <w:pPr>
        <w:pStyle w:val="BodyText"/>
      </w:pPr>
      <w:r>
        <w:t xml:space="preserve">+19.3%</w:t>
      </w:r>
    </w:p>
    <w:p>
      <w:pPr>
        <w:pStyle w:val="BodyText"/>
      </w:pPr>
      <w:r>
        <w:t xml:space="preserve">Treatment Completion Rate (All Ages)</w:t>
      </w:r>
    </w:p>
    <w:p>
      <w:pPr>
        <w:pStyle w:val="BodyText"/>
      </w:pPr>
      <w:r>
        <w:t xml:space="preserve">90.1%</w:t>
      </w:r>
    </w:p>
    <w:p>
      <w:pPr>
        <w:pStyle w:val="BodyText"/>
      </w:pPr>
      <w:r>
        <w:t xml:space="preserve">&lt;</w:t>
      </w:r>
    </w:p>
    <w:p>
      <w:pPr>
        <w:pStyle w:val="BodyText"/>
      </w:pPr>
      <w:r>
        <w:t xml:space="preserve">94.3%</w:t>
      </w:r>
    </w:p>
    <w:p>
      <w:pPr>
        <w:pStyle w:val="BodyText"/>
      </w:pPr>
      <w:r>
        <w:t xml:space="preserve">Aesthetic Treatment Revenue Share</w:t>
      </w:r>
    </w:p>
    <w:p>
      <w:pPr>
        <w:pStyle w:val="BodyText"/>
      </w:pPr>
      <w:r>
        <w:t xml:space="preserve">32%</w:t>
      </w:r>
    </w:p>
    <w:p>
      <w:pPr>
        <w:pStyle w:val="BodyText"/>
      </w:pPr>
      <w:r>
        <w:t xml:space="preserve">48%</w:t>
      </w:r>
    </w:p>
    <w:p>
      <w:pPr>
        <w:pStyle w:val="BodyText"/>
      </w:pPr>
      <w:r>
        <w:t xml:space="preserve">+16 points</w:t>
      </w:r>
    </w:p>
    <w:p>
      <w:pPr>
        <w:pStyle w:val="BodyText"/>
      </w:pPr>
      <w:r>
        <w:t xml:space="preserve">Patient Referral Rate (Local Dentists)</w:t>
      </w:r>
    </w:p>
    <w:p>
      <w:pPr>
        <w:pStyle w:val="BodyText"/>
      </w:pPr>
      <w:r>
        <w:t xml:space="preserve">27%</w:t>
      </w:r>
    </w:p>
    <w:p>
      <w:pPr>
        <w:pStyle w:val="BodyText"/>
      </w:pPr>
      <w:r>
        <w:t xml:space="preserve">&lt;</w:t>
      </w:r>
    </w:p>
    <w:p>
      <w:pPr>
        <w:pStyle w:val="BodyText"/>
      </w:pPr>
      <w:r>
        <w:t xml:space="preserve">41%</w:t>
      </w:r>
    </w:p>
    <w:p>
      <w:pPr>
        <w:pStyle w:val="BodyText"/>
      </w:pPr>
      <w:r>
        <w:t xml:space="preserve">Average Revenue Per Patient (Berlin)</w:t>
      </w:r>
    </w:p>
    <w:p>
      <w:pPr>
        <w:pStyle w:val="BodyText"/>
      </w:pPr>
      <w:r>
        <w:t xml:space="preserve">€2,850</w:t>
      </w:r>
    </w:p>
    <w:p>
      <w:pPr>
        <w:pStyle w:val="BodyText"/>
      </w:pPr>
      <w:r>
        <w:t xml:space="preserve">€3,365</w:t>
      </w:r>
    </w:p>
    <w:bookmarkStart w:id="22" w:name="key-insights-driving-success"/>
    <w:p>
      <w:pPr>
        <w:pStyle w:val="Heading3"/>
      </w:pPr>
      <w:r>
        <w:t xml:space="preserve">Key Insights Driving Success:</w:t>
      </w:r>
    </w:p>
    <w:p>
      <w:pPr>
        <w:numPr>
          <w:ilvl w:val="0"/>
          <w:numId w:val="1002"/>
        </w:numPr>
        <w:pStyle w:val="Compact"/>
      </w:pPr>
      <w:r>
        <w:rPr>
          <w:bCs/>
          <w:b/>
        </w:rPr>
        <w:t xml:space="preserve">Localized Marketing Strategy:</w:t>
      </w:r>
      <w:r>
        <w:t xml:space="preserve"> </w:t>
      </w:r>
      <w:r>
        <w:t xml:space="preserve">Targeted social media campaigns in Berlin's 12 major districts (e.g., Mitte, Friedrichshain) using local dialect phrases and student-focused promotions increased organic lead generation by 34%.</w:t>
      </w:r>
    </w:p>
    <w:p>
      <w:pPr>
        <w:numPr>
          <w:ilvl w:val="0"/>
          <w:numId w:val="1002"/>
        </w:numPr>
        <w:pStyle w:val="Compact"/>
      </w:pPr>
      <w:r>
        <w:rPr>
          <w:bCs/>
          <w:b/>
        </w:rPr>
        <w:t xml:space="preserve">Insurance Navigation Program:</w:t>
      </w:r>
      <w:r>
        <w:t xml:space="preserve"> </w:t>
      </w:r>
      <w:r>
        <w:t xml:space="preserve">Dedicated case managers trained in German GKV protocols reduced patient onboarding time by 52%, directly improving conversion from consultation to treatment start.</w:t>
      </w:r>
    </w:p>
    <w:p>
      <w:pPr>
        <w:numPr>
          <w:ilvl w:val="0"/>
          <w:numId w:val="1002"/>
        </w:numPr>
        <w:pStyle w:val="Compact"/>
      </w:pPr>
      <w:r>
        <w:rPr>
          <w:bCs/>
          <w:b/>
        </w:rPr>
        <w:t xml:space="preserve">Digital Adoption:</w:t>
      </w:r>
      <w:r>
        <w:t xml:space="preserve"> </w:t>
      </w:r>
      <w:r>
        <w:t xml:space="preserve">Implementation of Berlin-specific teledentistry services (e.g., virtual consultations for university students) captured 18% of new patients from the University of Applied Sciences and Humboldt University networks.</w:t>
      </w:r>
    </w:p>
    <w:bookmarkEnd w:id="22"/>
    <w:bookmarkEnd w:id="23"/>
    <w:bookmarkStart w:id="24" w:name="iv.-berlin-specific-challenges-solutions"/>
    <w:p>
      <w:pPr>
        <w:pStyle w:val="Heading2"/>
      </w:pPr>
      <w:r>
        <w:t xml:space="preserve">IV. Berlin-Specific Challenges &amp; Solutions</w:t>
      </w:r>
    </w:p>
    <w:p>
      <w:pPr>
        <w:pStyle w:val="FirstParagraph"/>
      </w:pPr>
      <w:r>
        <w:rPr>
          <w:bCs/>
          <w:b/>
        </w:rPr>
        <w:t xml:space="preserve">Challenge 1: High Patient Expectations for Discreet Treatment</w:t>
      </w:r>
      <w:r>
        <w:br/>
      </w:r>
      <w:r>
        <w:t xml:space="preserve">*Berlin’s youth culture prioritizes aesthetic orthodontics.* Solution: We expanded our clear aligner portfolio to include Berlin-exclusive partnership rates with Invisalign® and lingual braces. This increased premium service adoption by 57% in the 18–30 age bracket.</w:t>
      </w:r>
    </w:p>
    <w:p>
      <w:pPr>
        <w:pStyle w:val="BodyText"/>
      </w:pPr>
      <w:r>
        <w:rPr>
          <w:bCs/>
          <w:b/>
        </w:rPr>
        <w:t xml:space="preserve">Challenge 2: Complex GKV Reimbursement Processes</w:t>
      </w:r>
      <w:r>
        <w:br/>
      </w:r>
      <w:r>
        <w:t xml:space="preserve">*German insurance bureaucracy delays treatment approvals.* Solution: We partnered with Berlin’s Kassenzahnärztliche Vereinigung (KZV) to streamline documentation. This reduced billing processing time from 14 to 3 business days, accelerating revenue cycles.</w:t>
      </w:r>
    </w:p>
    <w:p>
      <w:pPr>
        <w:pStyle w:val="BodyText"/>
      </w:pPr>
      <w:r>
        <w:rPr>
          <w:bCs/>
          <w:b/>
        </w:rPr>
        <w:t xml:space="preserve">Challenge 3: Competition from New Clinics</w:t>
      </w:r>
      <w:r>
        <w:br/>
      </w:r>
      <w:r>
        <w:t xml:space="preserve">*Berlin saw a 22% increase in new orthodontic practices (2023–2024).* Solution: We launched "OrthoConnect," a referral network with Berlin-based pediatric dentists and ENT specialists, generating 41% of new patients through trusted professional channels.</w:t>
      </w:r>
    </w:p>
    <w:bookmarkEnd w:id="24"/>
    <w:bookmarkStart w:id="25" w:name="Xcbb83941af91e901232fd9a44ddf8cae608d1ec"/>
    <w:p>
      <w:pPr>
        <w:pStyle w:val="Heading2"/>
      </w:pPr>
      <w:r>
        <w:t xml:space="preserve">V. Strategic Recommendations for Q3/Q4 2024</w:t>
      </w:r>
    </w:p>
    <w:p>
      <w:pPr>
        <w:numPr>
          <w:ilvl w:val="0"/>
          <w:numId w:val="1003"/>
        </w:numPr>
        <w:pStyle w:val="Compact"/>
      </w:pPr>
      <w:r>
        <w:rPr>
          <w:bCs/>
          <w:b/>
        </w:rPr>
        <w:t xml:space="preserve">Expand University Partnerships:</w:t>
      </w:r>
      <w:r>
        <w:t xml:space="preserve"> </w:t>
      </w:r>
      <w:r>
        <w:t xml:space="preserve">Formalize agreements with Berlin’s top universities (Freie Universität, TU Berlin) for on-campus health fairs targeting students aged 18–25.</w:t>
      </w:r>
    </w:p>
    <w:p>
      <w:pPr>
        <w:numPr>
          <w:ilvl w:val="0"/>
          <w:numId w:val="1003"/>
        </w:numPr>
        <w:pStyle w:val="Compact"/>
      </w:pPr>
      <w:r>
        <w:rPr>
          <w:bCs/>
          <w:b/>
        </w:rPr>
        <w:t xml:space="preserve">Leverage Digital Health Tools:</w:t>
      </w:r>
      <w:r>
        <w:t xml:space="preserve"> </w:t>
      </w:r>
      <w:r>
        <w:t xml:space="preserve">Introduce AI-powered smile simulation via our app—addressing the 73% of Berlin patients who research treatment digitally before contacting a practice.</w:t>
      </w:r>
    </w:p>
    <w:p>
      <w:pPr>
        <w:numPr>
          <w:ilvl w:val="0"/>
          <w:numId w:val="1003"/>
        </w:numPr>
        <w:pStyle w:val="Compact"/>
      </w:pPr>
      <w:r>
        <w:rPr>
          <w:bCs/>
          <w:b/>
        </w:rPr>
        <w:t xml:space="preserve">Focus on Family Orthodontics:</w:t>
      </w:r>
      <w:r>
        <w:t xml:space="preserve"> </w:t>
      </w:r>
      <w:r>
        <w:t xml:space="preserve">Develop bundled packages for siblings (e.g., "Family Smile Package" with 15% discount) to capture multi-generational patient referrals in Berlin’s suburban districts.</w:t>
      </w:r>
    </w:p>
    <w:p>
      <w:pPr>
        <w:numPr>
          <w:ilvl w:val="0"/>
          <w:numId w:val="1003"/>
        </w:numPr>
        <w:pStyle w:val="Compact"/>
      </w:pPr>
      <w:r>
        <w:rPr>
          <w:bCs/>
          <w:b/>
        </w:rPr>
        <w:t xml:space="preserve">Community Engagement:</w:t>
      </w:r>
      <w:r>
        <w:t xml:space="preserve"> </w:t>
      </w:r>
      <w:r>
        <w:t xml:space="preserve">Sponsor Berlin’s Youth Sports League tournaments to build local brand recognition and position our practice as a community health partner.</w:t>
      </w:r>
    </w:p>
    <w:bookmarkEnd w:id="25"/>
    <w:bookmarkStart w:id="26" w:name="Xdcbdb5bbe54f7031660c954f5a4bb15cef6e1c3"/>
    <w:p>
      <w:pPr>
        <w:pStyle w:val="Heading2"/>
      </w:pPr>
      <w:r>
        <w:t xml:space="preserve">VI. Conclusion: Positioning for Growth in Germany's Capital</w:t>
      </w:r>
    </w:p>
    <w:p>
      <w:pPr>
        <w:pStyle w:val="FirstParagraph"/>
      </w:pPr>
      <w:r>
        <w:t xml:space="preserve">Berlin represents the pinnacle of orthodontic opportunity in Germany, where high disposable income, demographic youthfulness, and cultural emphasis on aesthetics converge to create a premium service market. Our strategic adaptation to Berlin’s unique healthcare ecosystem—prioritizing digital engagement, insurance navigation expertise, and community integration—has positioned us as a leader in the</w:t>
      </w:r>
      <w:r>
        <w:t xml:space="preserve"> </w:t>
      </w:r>
      <w:r>
        <w:rPr>
          <w:iCs/>
          <w:i/>
        </w:rPr>
        <w:t xml:space="preserve">Orthodontist</w:t>
      </w:r>
      <w:r>
        <w:t xml:space="preserve"> </w:t>
      </w:r>
      <w:r>
        <w:t xml:space="preserve">sector within Germany. The 19% patient acquisition growth in Q2 2024 underscores that our targeted approach directly addresses Berlin-specific market needs. Moving forward, we will maintain our focus on high-value aesthetic treatments while deepening local partnerships to sustain this momentum. As the largest city in Germany with a rapidly evolving orthodontic demand profile, Berlin remains the cornerstone of our national growth strategy.</w:t>
      </w:r>
    </w:p>
    <w:p>
      <w:pPr>
        <w:pStyle w:val="BodyText"/>
      </w:pPr>
      <w:r>
        <w:rPr>
          <w:bCs/>
          <w:b/>
        </w:rPr>
        <w:t xml:space="preserve">Appendix:</w:t>
      </w:r>
      <w:r>
        <w:t xml:space="preserve"> </w:t>
      </w:r>
      <w:r>
        <w:t xml:space="preserve">All data reflects internal practice metrics for Berlin locations (Mitte, Kreuzberg, Charlottenburg-Wilmersdorf districts). Market statistics sourced from German Federal Statistical Office (Destatis) and KZV Berlin 2024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Practice Performance Report: Berlin Market Analysis</dc:title>
  <dc:creator/>
  <dc:language>en</dc:language>
  <cp:keywords/>
  <dcterms:created xsi:type="dcterms:W3CDTF">2026-07-23T07:16:06Z</dcterms:created>
  <dcterms:modified xsi:type="dcterms:W3CDTF">2026-07-23T07:16:06Z</dcterms:modified>
</cp:coreProperties>
</file>

<file path=docProps/custom.xml><?xml version="1.0" encoding="utf-8"?>
<Properties xmlns="http://schemas.openxmlformats.org/officeDocument/2006/custom-properties" xmlns:vt="http://schemas.openxmlformats.org/officeDocument/2006/docPropsVTypes"/>
</file>