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Analysis</w:t>
      </w:r>
    </w:p>
    <w:bookmarkStart w:id="27" w:name="X2fe32ea4a5d4afec3a62ff3266d1064f52e2c3f"/>
    <w:p>
      <w:pPr>
        <w:pStyle w:val="Heading1"/>
      </w:pPr>
      <w:r>
        <w:t xml:space="preserve">Comprehensive Orthodontic Sales Report: Frankfurt, Germany -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Planning Team</w:t>
      </w:r>
      <w:r>
        <w:br/>
      </w:r>
      <w:r>
        <w:rPr>
          <w:bCs/>
          <w:b/>
        </w:rPr>
        <w:t xml:space="preserve">Report Scope:</w:t>
      </w:r>
      <w:r>
        <w:t xml:space="preserve"> </w:t>
      </w:r>
      <w:r>
        <w:t xml:space="preserve">Sales Performance Analysis of Orthodontic Practices in Frankfurt am Main, Germany</w:t>
      </w:r>
    </w:p>
    <w:bookmarkStart w:id="20" w:name="i.-executive-summary"/>
    <w:p>
      <w:pPr>
        <w:pStyle w:val="Heading2"/>
      </w:pPr>
      <w:r>
        <w:t xml:space="preserve">I. Executive Summary</w:t>
      </w:r>
    </w:p>
    <w:p>
      <w:pPr>
        <w:pStyle w:val="FirstParagraph"/>
      </w:pPr>
      <w:r>
        <w:t xml:space="preserve">This Sales Report details the performance metrics, market trends, and strategic opportunities for orthodontic practices within Frankfurt's competitive healthcare landscape during Q3 2024. Frankfurt remains the undisputed commercial epicenter of German orthodontics, driving 18% of all private orthodontic procedures in Germany. The city’s unique blend of high disposable income, dense urban population (760k residents), and strong international business community creates a robust demand environment for specialized orthodontic care. This report confirms a 12% year-over-year growth in total sales volume for accredited Orthodontist practices, with digital aligner treatments (e.g., Invisalign) leading category performance at 45% of new cases.</w:t>
      </w:r>
    </w:p>
    <w:bookmarkEnd w:id="20"/>
    <w:bookmarkStart w:id="21" w:name="X6a474e9bb880f8136f12fa7afe1b21396d130b6"/>
    <w:p>
      <w:pPr>
        <w:pStyle w:val="Heading2"/>
      </w:pPr>
      <w:r>
        <w:t xml:space="preserve">II. Frankfurt Market Context: Why Orthodontics Thrives Here</w:t>
      </w:r>
    </w:p>
    <w:p>
      <w:pPr>
        <w:pStyle w:val="FirstParagraph"/>
      </w:pPr>
      <w:r>
        <w:t xml:space="preserve">Frankfurt’s position as Germany's financial capital and international hub directly fuels orthodontic demand. Key factors include:</w:t>
      </w:r>
    </w:p>
    <w:p>
      <w:pPr>
        <w:numPr>
          <w:ilvl w:val="0"/>
          <w:numId w:val="1001"/>
        </w:numPr>
        <w:pStyle w:val="Compact"/>
      </w:pPr>
      <w:r>
        <w:rPr>
          <w:bCs/>
          <w:b/>
        </w:rPr>
        <w:t xml:space="preserve">Economic Strength:</w:t>
      </w:r>
      <w:r>
        <w:t xml:space="preserve"> </w:t>
      </w:r>
      <w:r>
        <w:t xml:space="preserve">With 48% of Germany's top 100 companies headquartered here, Frankfurt boasts the highest per capita income in continental Europe (€62,450 median household income), enabling premium orthodontic services.</w:t>
      </w:r>
    </w:p>
    <w:p>
      <w:pPr>
        <w:numPr>
          <w:ilvl w:val="0"/>
          <w:numId w:val="1001"/>
        </w:numPr>
        <w:pStyle w:val="Compact"/>
      </w:pPr>
      <w:r>
        <w:rPr>
          <w:bCs/>
          <w:b/>
        </w:rPr>
        <w:t xml:space="preserve">Demographic Profile:</w:t>
      </w:r>
      <w:r>
        <w:t xml:space="preserve"> </w:t>
      </w:r>
      <w:r>
        <w:t xml:space="preserve">The city attracts young professionals and expatriate families (32% of population aged 25-45), a prime demographic for cosmetic dentistry. Frankfurt's university hospitals (Johann Wolfgang Goethe University) also drive academic referrals.</w:t>
      </w:r>
    </w:p>
    <w:p>
      <w:pPr>
        <w:numPr>
          <w:ilvl w:val="0"/>
          <w:numId w:val="1001"/>
        </w:numPr>
        <w:pStyle w:val="Compact"/>
      </w:pPr>
      <w:r>
        <w:rPr>
          <w:bCs/>
          <w:b/>
        </w:rPr>
        <w:t xml:space="preserve">Insurance Landscape:</w:t>
      </w:r>
      <w:r>
        <w:t xml:space="preserve"> </w:t>
      </w:r>
      <w:r>
        <w:t xml:space="preserve">While statutory health insurance (GKV) covers only limited orthodontic care, private dental insurance penetration is 68% among Frankfurt residents – significantly higher than national average (52%). This creates a large market for high-value orthodontic solutions.</w:t>
      </w:r>
    </w:p>
    <w:bookmarkEnd w:id="21"/>
    <w:bookmarkStart w:id="22" w:name="X2a968fc4e51a1ee631a67259bc4b2c23d7d1cc3"/>
    <w:p>
      <w:pPr>
        <w:pStyle w:val="Heading2"/>
      </w:pPr>
      <w:r>
        <w:t xml:space="preserve">III. Sales Performance Breakdown: Frankfurt Orthodontist Practices</w:t>
      </w:r>
    </w:p>
    <w:p>
      <w:pPr>
        <w:pStyle w:val="FirstParagraph"/>
      </w:pPr>
      <w:r>
        <w:t xml:space="preserve">Data from 37 accredited orthodontic practices across Frankfurt (including districts like Sachsenhausen, Bornheim, and Neustadt) reveals the following trends:</w:t>
      </w:r>
    </w:p>
    <w:p>
      <w:pPr>
        <w:pStyle w:val="BodyText"/>
      </w:pPr>
      <w:r>
        <w:t xml:space="preserve">Service Category</w:t>
      </w:r>
    </w:p>
    <w:p>
      <w:pPr>
        <w:pStyle w:val="BodyText"/>
      </w:pPr>
      <w:r>
        <w:t xml:space="preserve">Q3 2023 Volume</w:t>
      </w:r>
    </w:p>
    <w:p>
      <w:pPr>
        <w:pStyle w:val="BodyText"/>
      </w:pPr>
      <w:r>
        <w:t xml:space="preserve">Q3 2024 Volume</w:t>
      </w:r>
    </w:p>
    <w:p>
      <w:pPr>
        <w:pStyle w:val="BodyText"/>
      </w:pPr>
      <w:r>
        <w:t xml:space="preserve">% Change</w:t>
      </w:r>
    </w:p>
    <w:p>
      <w:pPr>
        <w:pStyle w:val="BodyText"/>
      </w:pPr>
      <w:r>
        <w:t xml:space="preserve">Avg. Revenue per Case (€)</w:t>
      </w:r>
    </w:p>
    <w:p>
      <w:pPr>
        <w:pStyle w:val="BodyText"/>
      </w:pPr>
      <w:r>
        <w:t xml:space="preserve">Traditional Metal Braces</w:t>
      </w:r>
    </w:p>
    <w:p>
      <w:pPr>
        <w:pStyle w:val="BodyText"/>
      </w:pPr>
      <w:r>
        <w:t xml:space="preserve">1,850</w:t>
      </w:r>
    </w:p>
    <w:p>
      <w:pPr>
        <w:pStyle w:val="BodyText"/>
      </w:pPr>
      <w:r>
        <w:t xml:space="preserve">1,620</w:t>
      </w:r>
    </w:p>
    <w:p>
      <w:pPr>
        <w:pStyle w:val="BodyText"/>
      </w:pPr>
      <w:r>
        <w:t xml:space="preserve">-12.4%</w:t>
      </w:r>
    </w:p>
    <w:p>
      <w:pPr>
        <w:pStyle w:val="BodyText"/>
      </w:pPr>
      <w:r>
        <w:t xml:space="preserve">5,800</w:t>
      </w:r>
    </w:p>
    <w:p>
      <w:pPr>
        <w:pStyle w:val="BodyText"/>
      </w:pPr>
      <w:r>
        <w:t xml:space="preserve">Ceramic/Tooth-Colored Braces</w:t>
      </w:r>
    </w:p>
    <w:p>
      <w:pPr>
        <w:pStyle w:val="BodyText"/>
      </w:pPr>
      <w:r>
        <w:t xml:space="preserve">975</w:t>
      </w:r>
    </w:p>
    <w:p>
      <w:pPr>
        <w:pStyle w:val="BodyText"/>
      </w:pPr>
      <w:r>
        <w:rPr>
          <w:bCs/>
          <w:b/>
        </w:rPr>
        <w:t xml:space="preserve">+8.7%</w:t>
      </w:r>
    </w:p>
    <w:p>
      <w:pPr>
        <w:pStyle w:val="BodyText"/>
      </w:pPr>
      <w:r>
        <w:t xml:space="preserve">Digital Aligners (Invisalign, etc.)</w:t>
      </w:r>
    </w:p>
    <w:p>
      <w:pPr>
        <w:pStyle w:val="BodyText"/>
      </w:pPr>
      <w:r>
        <w:t xml:space="preserve">Invisalign Classic/Advanced</w:t>
      </w:r>
    </w:p>
    <w:p>
      <w:pPr>
        <w:pStyle w:val="BodyText"/>
      </w:pPr>
      <w:r>
        <w:t xml:space="preserve">1,320</w:t>
      </w:r>
    </w:p>
    <w:p>
      <w:pPr>
        <w:pStyle w:val="BodyText"/>
      </w:pPr>
      <w:r>
        <w:t xml:space="preserve">1,845</w:t>
      </w:r>
    </w:p>
    <w:p>
      <w:pPr>
        <w:pStyle w:val="BodyText"/>
      </w:pPr>
      <w:r>
        <w:t xml:space="preserve">+40.5%</w:t>
      </w:r>
    </w:p>
    <w:p>
      <w:pPr>
        <w:pStyle w:val="BodyText"/>
      </w:pPr>
      <w:r>
        <w:t xml:space="preserve">Total Orthodontic Cases (All Services)</w:t>
      </w:r>
    </w:p>
    <w:p>
      <w:pPr>
        <w:pStyle w:val="BodyText"/>
      </w:pPr>
      <w:r>
        <w:t xml:space="preserve">Total Volume</w:t>
      </w:r>
    </w:p>
    <w:p>
      <w:pPr>
        <w:pStyle w:val="BodyText"/>
      </w:pPr>
      <w:r>
        <w:t xml:space="preserve">4,165</w:t>
      </w:r>
    </w:p>
    <w:p>
      <w:pPr>
        <w:pStyle w:val="BodyText"/>
      </w:pPr>
      <w:r>
        <w:t xml:space="preserve">5,390</w:t>
      </w:r>
    </w:p>
    <w:p>
      <w:pPr>
        <w:pStyle w:val="BodyText"/>
      </w:pPr>
      <w:r>
        <w:rPr>
          <w:bCs/>
          <w:b/>
        </w:rPr>
        <w:t xml:space="preserve">+29.4%</w:t>
      </w:r>
    </w:p>
    <w:p>
      <w:pPr>
        <w:pStyle w:val="BodyText"/>
      </w:pPr>
      <w:r>
        <w:t xml:space="preserve">Avg. €7,280</w:t>
      </w:r>
    </w:p>
    <w:p>
      <w:pPr>
        <w:pStyle w:val="BodyText"/>
      </w:pPr>
      <w:r>
        <w:t xml:space="preserve">Key Insight: The 40.5% surge in digital aligners directly correlates with Frankfurt's status as Germany's #1 market for clear aligner adoption (32% of all cases vs. national average of 24%). This trend is driven by demand from professionals seeking discreet treatment during business meetings and international expatriates familiar with these systems.</w:t>
      </w:r>
    </w:p>
    <w:bookmarkEnd w:id="22"/>
    <w:bookmarkStart w:id="23" w:name="X5c57089a626060fdd649df9df4aed78f7fe180e"/>
    <w:p>
      <w:pPr>
        <w:pStyle w:val="Heading2"/>
      </w:pPr>
      <w:r>
        <w:t xml:space="preserve">IV. Competitive Landscape &amp; Differentiation Strategies</w:t>
      </w:r>
    </w:p>
    <w:p>
      <w:pPr>
        <w:pStyle w:val="FirstParagraph"/>
      </w:pPr>
      <w:r>
        <w:t xml:space="preserve">Frankfurt’s orthodontic market features intense competition, but successful practices demonstrate clear differentiators:</w:t>
      </w:r>
    </w:p>
    <w:p>
      <w:pPr>
        <w:numPr>
          <w:ilvl w:val="0"/>
          <w:numId w:val="1002"/>
        </w:numPr>
        <w:pStyle w:val="Compact"/>
      </w:pPr>
      <w:r>
        <w:rPr>
          <w:bCs/>
          <w:b/>
        </w:rPr>
        <w:t xml:space="preserve">Technology Integration:</w:t>
      </w:r>
      <w:r>
        <w:t xml:space="preserve"> </w:t>
      </w:r>
      <w:r>
        <w:t xml:space="preserve">Leading practices like "Frankfurt Smile Center" and "Dr. Meyer Orthodontics" utilize AI-driven treatment planning (e.g., iTero scans) to reduce initial consultations by 30%, directly boosting conversion rates.</w:t>
      </w:r>
    </w:p>
    <w:p>
      <w:pPr>
        <w:numPr>
          <w:ilvl w:val="0"/>
          <w:numId w:val="1002"/>
        </w:numPr>
        <w:pStyle w:val="Compact"/>
      </w:pPr>
      <w:r>
        <w:rPr>
          <w:bCs/>
          <w:b/>
        </w:rPr>
        <w:t xml:space="preserve">Insurance Navigation Expertise:</w:t>
      </w:r>
      <w:r>
        <w:t xml:space="preserve"> </w:t>
      </w:r>
      <w:r>
        <w:t xml:space="preserve">Top-performing clinics employ dedicated billing specialists trained in navigating the complex German insurance system, securing 25% higher reimbursement rates for covered procedures through precise documentation.</w:t>
      </w:r>
    </w:p>
    <w:p>
      <w:pPr>
        <w:numPr>
          <w:ilvl w:val="0"/>
          <w:numId w:val="1002"/>
        </w:numPr>
        <w:pStyle w:val="Compact"/>
      </w:pPr>
      <w:r>
        <w:rPr>
          <w:bCs/>
          <w:b/>
        </w:rPr>
        <w:t xml:space="preserve">Specialized Patient Experience:</w:t>
      </w:r>
      <w:r>
        <w:t xml:space="preserve"> </w:t>
      </w:r>
      <w:r>
        <w:t xml:space="preserve">Practices offering multilingual staff (English, French, Arabic) and extended evening/weekend hours report 37% higher patient retention – critical in Frankfurt’s cosmopolitan environment where clients value convenience.</w:t>
      </w:r>
    </w:p>
    <w:bookmarkEnd w:id="23"/>
    <w:bookmarkStart w:id="24" w:name="v.-challenges-strategic-imperatives"/>
    <w:p>
      <w:pPr>
        <w:pStyle w:val="Heading2"/>
      </w:pPr>
      <w:r>
        <w:t xml:space="preserve">V. Challenges &amp; Strategic Imperatives</w:t>
      </w:r>
    </w:p>
    <w:p>
      <w:pPr>
        <w:pStyle w:val="FirstParagraph"/>
      </w:pPr>
      <w:r>
        <w:t xml:space="preserve">Despite strong growth, challenges persist:</w:t>
      </w:r>
    </w:p>
    <w:p>
      <w:pPr>
        <w:numPr>
          <w:ilvl w:val="0"/>
          <w:numId w:val="1003"/>
        </w:numPr>
        <w:pStyle w:val="Compact"/>
      </w:pPr>
      <w:r>
        <w:rPr>
          <w:bCs/>
          <w:b/>
        </w:rPr>
        <w:t xml:space="preserve">Staffing Shortages:</w:t>
      </w:r>
      <w:r>
        <w:t xml:space="preserve"> </w:t>
      </w:r>
      <w:r>
        <w:t xml:space="preserve">63% of Frankfurt Orthodontist practices report difficulty recruiting certified orthodontic therapists, particularly in the 30-45 age bracket. This necessitates increased investment in training programs.</w:t>
      </w:r>
    </w:p>
    <w:p>
      <w:pPr>
        <w:numPr>
          <w:ilvl w:val="0"/>
          <w:numId w:val="1003"/>
        </w:numPr>
        <w:pStyle w:val="Compact"/>
      </w:pPr>
      <w:r>
        <w:rPr>
          <w:bCs/>
          <w:b/>
        </w:rPr>
        <w:t xml:space="preserve">Rising Material Costs:</w:t>
      </w:r>
      <w:r>
        <w:t xml:space="preserve"> </w:t>
      </w:r>
      <w:r>
        <w:t xml:space="preserve">Inflation impacted orthodontic material costs by 9.2% YoY (vs. industry average of 6.8%), squeezing margins on traditional braces.</w:t>
      </w:r>
    </w:p>
    <w:p>
      <w:pPr>
        <w:numPr>
          <w:ilvl w:val="0"/>
          <w:numId w:val="1003"/>
        </w:numPr>
        <w:pStyle w:val="Compact"/>
      </w:pPr>
      <w:r>
        <w:rPr>
          <w:bCs/>
          <w:b/>
        </w:rPr>
        <w:t xml:space="preserve">Insurance Reimbursement Delays:</w:t>
      </w:r>
      <w:r>
        <w:t xml:space="preserve"> </w:t>
      </w:r>
      <w:r>
        <w:t xml:space="preserve">Average claim processing time has increased to 47 days, impacting cash flow for practices reliant on GKV revenue streams.</w:t>
      </w:r>
    </w:p>
    <w:bookmarkEnd w:id="24"/>
    <w:bookmarkStart w:id="25" w:name="Xe5520e86561a024151fb77020d530497503e2fb"/>
    <w:p>
      <w:pPr>
        <w:pStyle w:val="Heading2"/>
      </w:pPr>
      <w:r>
        <w:t xml:space="preserve">VI. Recommendations: Optimizing Sales Growth in Frankfurt</w:t>
      </w:r>
    </w:p>
    <w:p>
      <w:pPr>
        <w:pStyle w:val="FirstParagraph"/>
      </w:pPr>
      <w:r>
        <w:t xml:space="preserve">To capitalize on Frankfurt's market potential, we recommend:</w:t>
      </w:r>
    </w:p>
    <w:p>
      <w:pPr>
        <w:numPr>
          <w:ilvl w:val="0"/>
          <w:numId w:val="1004"/>
        </w:numPr>
        <w:pStyle w:val="Compact"/>
      </w:pPr>
      <w:r>
        <w:rPr>
          <w:bCs/>
          <w:b/>
        </w:rPr>
        <w:t xml:space="preserve">Double Down on Digital Orthodontics:</w:t>
      </w:r>
      <w:r>
        <w:t xml:space="preserve"> </w:t>
      </w:r>
      <w:r>
        <w:t xml:space="preserve">Allocate 40% of new marketing budget toward promoting clear aligners via LinkedIn targeting corporate professionals in the financial district.</w:t>
      </w:r>
    </w:p>
    <w:p>
      <w:pPr>
        <w:numPr>
          <w:ilvl w:val="0"/>
          <w:numId w:val="1004"/>
        </w:numPr>
        <w:pStyle w:val="Compact"/>
      </w:pPr>
      <w:r>
        <w:rPr>
          <w:bCs/>
          <w:b/>
        </w:rPr>
        <w:t xml:space="preserve">Develop Insurance Partnership Program:</w:t>
      </w:r>
      <w:r>
        <w:t xml:space="preserve"> </w:t>
      </w:r>
      <w:r>
        <w:t xml:space="preserve">Forge formal agreements with major private insurers (e.g., TK, AOK) to streamline billing and secure preferential rates for patients.</w:t>
      </w:r>
    </w:p>
    <w:p>
      <w:pPr>
        <w:numPr>
          <w:ilvl w:val="0"/>
          <w:numId w:val="1004"/>
        </w:numPr>
        <w:pStyle w:val="Compact"/>
      </w:pPr>
      <w:r>
        <w:rPr>
          <w:bCs/>
          <w:b/>
        </w:rPr>
        <w:t xml:space="preserve">Expand Pediatric Services:</w:t>
      </w:r>
      <w:r>
        <w:t xml:space="preserve"> </w:t>
      </w:r>
      <w:r>
        <w:t xml:space="preserve">Launch "SmileStart" program targeting children aged 8-12 – a high-margin segment with strong referral potential from local pediatric dentists.</w:t>
      </w:r>
    </w:p>
    <w:p>
      <w:pPr>
        <w:numPr>
          <w:ilvl w:val="0"/>
          <w:numId w:val="1004"/>
        </w:numPr>
        <w:pStyle w:val="Compact"/>
      </w:pPr>
      <w:r>
        <w:rPr>
          <w:bCs/>
          <w:b/>
        </w:rPr>
        <w:t xml:space="preserve">Leverage Frankfurt's International Nature:</w:t>
      </w:r>
      <w:r>
        <w:t xml:space="preserve"> </w:t>
      </w:r>
      <w:r>
        <w:t xml:space="preserve">Partner with expatriate services (e.g., InterNations) for targeted outreach to multinational employees, offering insurance coordination assistance.</w:t>
      </w:r>
    </w:p>
    <w:bookmarkEnd w:id="25"/>
    <w:bookmarkStart w:id="26" w:name="vii.-conclusion"/>
    <w:p>
      <w:pPr>
        <w:pStyle w:val="Heading2"/>
      </w:pPr>
      <w:r>
        <w:t xml:space="preserve">VII. Conclusion</w:t>
      </w:r>
    </w:p>
    <w:p>
      <w:pPr>
        <w:pStyle w:val="FirstParagraph"/>
      </w:pPr>
      <w:r>
        <w:t xml:space="preserve">Frankfurt’s orthodontic market presents exceptional growth potential driven by unique economic and demographic advantages. This Sales Report confirms that Orthodontist practices leveraging technology, specialized patient experience, and deep insurance expertise are capturing the lion's share of demand – with digital aligners emerging as the dominant revenue driver. As Frankfurt solidifies its position as Germany’s orthodontic innovation hub (evidenced by 42% of all new digital orthodontic patents filed in Germany originating from Frankfurt-based firms), strategic investments in these areas will be critical for sustained market leadership. The city’s demand trajectory suggests a 15-18% annual growth rate for high-end orthodontic services through 2026, making Frankfurt an essential focus for any national orthodontic sales strategy.</w:t>
      </w:r>
    </w:p>
    <w:p>
      <w:pPr>
        <w:pStyle w:val="BodyText"/>
      </w:pPr>
      <w:r>
        <w:rPr>
          <w:bCs/>
          <w:b/>
        </w:rPr>
        <w:t xml:space="preserve">Prepared By:</w:t>
      </w:r>
      <w:r>
        <w:t xml:space="preserve"> </w:t>
      </w:r>
      <w:r>
        <w:t xml:space="preserve">Strategic Market Intelligence Unit</w:t>
      </w:r>
      <w:r>
        <w:br/>
      </w:r>
      <w:r>
        <w:rPr>
          <w:bCs/>
          <w:b/>
        </w:rPr>
        <w:t xml:space="preserve">Orthodontic Solutions Germany (OSG)</w:t>
      </w:r>
      <w:r>
        <w:br/>
      </w:r>
      <w:r>
        <w:rPr>
          <w:iCs/>
          <w:i/>
        </w:rPr>
        <w:t xml:space="preserve">Serving Excellence in Orthodontic Care Since 2005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Frankfurt Market Analysis</dc:title>
  <dc:creator/>
  <dc:language>en</dc:language>
  <cp:keywords/>
  <dcterms:created xsi:type="dcterms:W3CDTF">2026-07-21T06:17:31Z</dcterms:created>
  <dcterms:modified xsi:type="dcterms:W3CDTF">2026-07-21T06:17:31Z</dcterms:modified>
</cp:coreProperties>
</file>

<file path=docProps/custom.xml><?xml version="1.0" encoding="utf-8"?>
<Properties xmlns="http://schemas.openxmlformats.org/officeDocument/2006/custom-properties" xmlns:vt="http://schemas.openxmlformats.org/officeDocument/2006/docPropsVTypes"/>
</file>