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Bangalore</w:t>
      </w:r>
      <w:r>
        <w:t xml:space="preserve"> </w:t>
      </w:r>
      <w:r>
        <w:t xml:space="preserve">India</w:t>
      </w:r>
    </w:p>
    <w:bookmarkStart w:id="28" w:name="Xefb90178eee081338a7f36af84e1c7e0a92c394"/>
    <w:p>
      <w:pPr>
        <w:pStyle w:val="Heading1"/>
      </w:pPr>
      <w:r>
        <w:t xml:space="preserve">Comprehensive Sales Report: Orthodontic Practice Performance in Bangalore, India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Prepared By:</w:t>
      </w:r>
      <w:r>
        <w:t xml:space="preserve"> </w:t>
      </w:r>
      <w:r>
        <w:t xml:space="preserve">Strategic Sales Analytics Department</w:t>
      </w:r>
      <w:r>
        <w:br/>
      </w:r>
      <w:r>
        <w:rPr>
          <w:bCs/>
          <w:b/>
        </w:rPr>
        <w:t xml:space="preserve">Geographic Focus:</w:t>
      </w:r>
      <w:r>
        <w:t xml:space="preserve"> </w:t>
      </w:r>
      <w:r>
        <w:t xml:space="preserve">Bangalore, India (Karnataka State)</w:t>
      </w:r>
    </w:p>
    <w:bookmarkStart w:id="20" w:name="i.-executive-summary"/>
    <w:p>
      <w:pPr>
        <w:pStyle w:val="Heading2"/>
      </w:pPr>
      <w:r>
        <w:t xml:space="preserve">I. Executive Summary</w:t>
      </w:r>
    </w:p>
    <w:p>
      <w:pPr>
        <w:pStyle w:val="FirstParagraph"/>
      </w:pPr>
      <w:r>
        <w:t xml:space="preserve">This Sales Report provides a detailed analysis of orthodontic service performance across our practice network in Bangalore, India. The period under review spans Q1-Q3 2023, demonstrating robust growth trajectory consistent with rising dental awareness in India's second-largest metropolitan hub. Our Bangalore-based orthodontist team has achieved a 27% year-over-year increase in patient acquisition, with total revenue reaching ₹48.7 million (≈$590,000 USD) – significantly outperforming both regional averages and our own Q3 2022 benchmarks. This growth is attributed to strategic market positioning, culturally sensitive patient engagement, and the increasing prevalence of orthodontic care acceptance among Indian families.</w:t>
      </w:r>
    </w:p>
    <w:bookmarkEnd w:id="20"/>
    <w:bookmarkStart w:id="21" w:name="Xfc4fd72b254794bdefadecb65b3258c3e2a8ab1"/>
    <w:p>
      <w:pPr>
        <w:pStyle w:val="Heading2"/>
      </w:pPr>
      <w:r>
        <w:t xml:space="preserve">II. Market Context: Orthodontist Landscape in Bangalore, India</w:t>
      </w:r>
    </w:p>
    <w:p>
      <w:pPr>
        <w:pStyle w:val="FirstParagraph"/>
      </w:pPr>
      <w:r>
        <w:t xml:space="preserve">Bangalore's orthodontic market has evolved dramatically over the past five years. As India's premier tech hub with a population exceeding 13 million and a high disposable income bracket (median household income: ₹85,000/month), the city represents a critical growth frontier for dental healthcare. A recent industry report by Indian Dental Association (IDA) indicates that Bangalore alone accounts for 18% of all orthodontic procedures in South India, with demand growing at 12% annually – fueled by rising awareness of aesthetic dentistry among millennials and Gen Z parents. Our orthodontist practice has strategically positioned itself as a premium yet accessible provider in this competitive landscape, focusing on advanced treatments (Invisalign®, lingual braces) while maintaining culturally resonant patient care protocols.</w:t>
      </w:r>
    </w:p>
    <w:bookmarkEnd w:id="21"/>
    <w:bookmarkStart w:id="22" w:name="Xbb6e7d5cde4c0138674bf01c356a207aa082e47"/>
    <w:p>
      <w:pPr>
        <w:pStyle w:val="Heading2"/>
      </w:pPr>
      <w:r>
        <w:t xml:space="preserve">III. Sales Performance Metrics (Q1-Q3 2023)</w:t>
      </w:r>
    </w:p>
    <w:p>
      <w:pPr>
        <w:pStyle w:val="FirstParagraph"/>
      </w:pPr>
      <w:r>
        <w:t xml:space="preserve">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Patient Visits</w:t>
      </w:r>
    </w:p>
    <w:p>
      <w:pPr>
        <w:pStyle w:val="BodyText"/>
      </w:pPr>
      <w:r>
        <w:t xml:space="preserve">1,850</w:t>
      </w:r>
    </w:p>
    <w:p>
      <w:pPr>
        <w:pStyle w:val="BodyText"/>
      </w:pPr>
      <w:r>
        <w:t xml:space="preserve">1,675</w:t>
      </w:r>
    </w:p>
    <w:p>
      <w:pPr>
        <w:pStyle w:val="BodyText"/>
      </w:pPr>
      <w:r>
        <w:t xml:space="preserve">+19.4%</w:t>
      </w:r>
    </w:p>
    <w:p>
      <w:pPr>
        <w:pStyle w:val="BodyText"/>
      </w:pPr>
      <w:r>
        <w:t xml:space="preserve">New Patient Acquisitions</w:t>
      </w:r>
    </w:p>
    <w:p>
      <w:pPr>
        <w:pStyle w:val="BodyText"/>
      </w:pPr>
      <w:r>
        <w:t xml:space="preserve">(32% of total)</w:t>
      </w:r>
    </w:p>
    <w:p>
      <w:pPr>
        <w:pStyle w:val="BodyText"/>
      </w:pPr>
      <w:r>
        <w:t xml:space="preserve">Revenue (INR)</w:t>
      </w:r>
    </w:p>
    <w:p>
      <w:pPr>
        <w:pStyle w:val="BodyText"/>
      </w:pPr>
      <w:r>
        <w:t xml:space="preserve">₹16.5M</w:t>
      </w:r>
    </w:p>
    <w:p>
      <w:pPr>
        <w:pStyle w:val="BodyText"/>
      </w:pPr>
      <w:r>
        <w:t xml:space="preserve">₹14.2M</w:t>
      </w:r>
    </w:p>
    <w:p>
      <w:pPr>
        <w:pStyle w:val="BodyText"/>
      </w:pPr>
      <w:r>
        <w:t xml:space="preserve">+16.2%</w:t>
      </w:r>
    </w:p>
    <w:p>
      <w:pPr>
        <w:pStyle w:val="BodyText"/>
      </w:pPr>
      <w:r>
        <w:t xml:space="preserve">The data reveals consistent quarterly growth, with new patient acquisitions surging 23% in Q3 due to targeted community engagement initiatives. Notably, 68% of our new patients were referred through existing clients – underscoring the power of word-of-mouth in India's relationship-driven healthcare culture. Our average treatment plan value has risen to ₹1.45 lakh per patient (up 9% YoY), reflecting successful cross-selling of premium services like clear aligners and early intervention programs.</w:t>
      </w:r>
    </w:p>
    <w:bookmarkEnd w:id="22"/>
    <w:bookmarkStart w:id="23" w:name="Xb2ee611ff0a258568468448ea0330b875873f24"/>
    <w:p>
      <w:pPr>
        <w:pStyle w:val="Heading2"/>
      </w:pPr>
      <w:r>
        <w:t xml:space="preserve">IV. Customer Demographics &amp; Behavioral Insights</w:t>
      </w:r>
    </w:p>
    <w:p>
      <w:pPr>
        <w:pStyle w:val="FirstParagraph"/>
      </w:pPr>
      <w:r>
        <w:t xml:space="preserve">Our Bangalore orthodontist practice serves a diverse patient base with distinct patterns:</w:t>
      </w:r>
    </w:p>
    <w:p>
      <w:pPr>
        <w:numPr>
          <w:ilvl w:val="0"/>
          <w:numId w:val="1001"/>
        </w:numPr>
        <w:pStyle w:val="Compact"/>
      </w:pPr>
      <w:r>
        <w:rPr>
          <w:bCs/>
          <w:b/>
        </w:rPr>
        <w:t xml:space="preserve">Age Distribution:</w:t>
      </w:r>
      <w:r>
        <w:t xml:space="preserve"> </w:t>
      </w:r>
      <w:r>
        <w:t xml:space="preserve">68% aged 10-25 years (parents initiating treatment for children), 32% adults seeking aesthetic correction</w:t>
      </w:r>
    </w:p>
    <w:p>
      <w:pPr>
        <w:numPr>
          <w:ilvl w:val="0"/>
          <w:numId w:val="1001"/>
        </w:numPr>
        <w:pStyle w:val="Compact"/>
      </w:pPr>
      <w:r>
        <w:rPr>
          <w:bCs/>
          <w:b/>
        </w:rPr>
        <w:t xml:space="preserve">Geographic Reach:</w:t>
      </w:r>
      <w:r>
        <w:t xml:space="preserve"> </w:t>
      </w:r>
      <w:r>
        <w:t xml:space="preserve">Primarily Central Bangalore (Indiranagar, Koramangala, Whitefield) – representing our core market penetration</w:t>
      </w:r>
    </w:p>
    <w:p>
      <w:pPr>
        <w:numPr>
          <w:ilvl w:val="0"/>
          <w:numId w:val="1001"/>
        </w:numPr>
        <w:pStyle w:val="Compact"/>
      </w:pPr>
      <w:r>
        <w:rPr>
          <w:bCs/>
          <w:b/>
        </w:rPr>
        <w:t xml:space="preserve">Pricing Sensitivity:</w:t>
      </w:r>
      <w:r>
        <w:t xml:space="preserve"> </w:t>
      </w:r>
      <w:r>
        <w:t xml:space="preserve">76% of patients prioritized quality and reputation over cost – a shift from pre-2020 trends</w:t>
      </w:r>
    </w:p>
    <w:p>
      <w:pPr>
        <w:numPr>
          <w:ilvl w:val="0"/>
          <w:numId w:val="1001"/>
        </w:numPr>
        <w:pStyle w:val="Compact"/>
      </w:pPr>
      <w:r>
        <w:rPr>
          <w:bCs/>
          <w:b/>
        </w:rPr>
        <w:t xml:space="preserve">Cultural Preference:</w:t>
      </w:r>
      <w:r>
        <w:t xml:space="preserve"> </w:t>
      </w:r>
      <w:r>
        <w:t xml:space="preserve">89% preferred female orthodontist specialists for adolescent girls (aligning with local social norms)</w:t>
      </w:r>
    </w:p>
    <w:p>
      <w:pPr>
        <w:pStyle w:val="FirstParagraph"/>
      </w:pPr>
      <w:r>
        <w:t xml:space="preserve">Patient satisfaction surveys reveal exceptional scores: 4.8/5 average rating, with specific praise for our "non-English communication" approach – where staff use Kannada, Tamil, and Telugu alongside Hindi to reduce patient anxiety in India Bangalore's multilingual environment. A key insight emerged from our Q3 feedback: 82% of parents cited "trust in the orthodontist's cultural understanding" as their primary decision factor.</w:t>
      </w:r>
    </w:p>
    <w:bookmarkEnd w:id="23"/>
    <w:bookmarkStart w:id="24" w:name="v.-marketing-effectiveness-analysis"/>
    <w:p>
      <w:pPr>
        <w:pStyle w:val="Heading2"/>
      </w:pPr>
      <w:r>
        <w:t xml:space="preserve">V. Marketing Effectiveness Analysis</w:t>
      </w:r>
    </w:p>
    <w:p>
      <w:pPr>
        <w:pStyle w:val="FirstParagraph"/>
      </w:pPr>
      <w:r>
        <w:t xml:space="preserve">Our hyper-localized marketing strategy delivered exceptional ROI in India Bangalore:</w:t>
      </w:r>
    </w:p>
    <w:p>
      <w:pPr>
        <w:numPr>
          <w:ilvl w:val="0"/>
          <w:numId w:val="1002"/>
        </w:numPr>
        <w:pStyle w:val="Compact"/>
      </w:pPr>
      <w:r>
        <w:rPr>
          <w:bCs/>
          <w:b/>
        </w:rPr>
        <w:t xml:space="preserve">Community Health Camps:</w:t>
      </w:r>
      <w:r>
        <w:t xml:space="preserve"> </w:t>
      </w:r>
      <w:r>
        <w:t xml:space="preserve">15+ free screenings at schools/colleges (e.g., R.V. College of Engineering, Sishya School) generated 412 qualified leads (conversion rate: 38%)</w:t>
      </w:r>
    </w:p>
    <w:p>
      <w:pPr>
        <w:numPr>
          <w:ilvl w:val="0"/>
          <w:numId w:val="1002"/>
        </w:numPr>
        <w:pStyle w:val="Compact"/>
      </w:pPr>
      <w:r>
        <w:rPr>
          <w:bCs/>
          <w:b/>
        </w:rPr>
        <w:t xml:space="preserve">Google Ads &amp; Social Media:</w:t>
      </w:r>
      <w:r>
        <w:t xml:space="preserve"> </w:t>
      </w:r>
      <w:r>
        <w:t xml:space="preserve">Targeted campaigns focusing on "affordable braces in Bangalore" drove 57% of new patient inquiries; cost-per-lead at ₹420 was 31% below industry average</w:t>
      </w:r>
    </w:p>
    <w:p>
      <w:pPr>
        <w:numPr>
          <w:ilvl w:val="0"/>
          <w:numId w:val="1002"/>
        </w:numPr>
        <w:pStyle w:val="Compact"/>
      </w:pPr>
      <w:r>
        <w:rPr>
          <w:bCs/>
          <w:b/>
        </w:rPr>
        <w:t xml:space="preserve">Strategic Partnerships:</w:t>
      </w:r>
      <w:r>
        <w:t xml:space="preserve"> </w:t>
      </w:r>
      <w:r>
        <w:t xml:space="preserve">Collaborations with pediatricians at Apollo Hospitals and Fortis (Bangalore) yielded 28% of all referrals</w:t>
      </w:r>
    </w:p>
    <w:p>
      <w:pPr>
        <w:pStyle w:val="FirstParagraph"/>
      </w:pPr>
      <w:r>
        <w:t xml:space="preserve">Notably, our Instagram campaign featuring real Bangalore families' orthodontic journeys achieved 1.2M impressions with a 7.6% engagement rate – significantly higher than national dental industry benchmarks (avg: 4.3%). This success directly correlates with our investment in locally produced content respecting Indian family dynamics.</w:t>
      </w:r>
    </w:p>
    <w:bookmarkEnd w:id="24"/>
    <w:bookmarkStart w:id="25" w:name="vi.-key-challenges-mitigation-strategies"/>
    <w:p>
      <w:pPr>
        <w:pStyle w:val="Heading2"/>
      </w:pPr>
      <w:r>
        <w:t xml:space="preserve">VI. Key Challenges &amp; Mitigation Strategies</w:t>
      </w:r>
    </w:p>
    <w:p>
      <w:pPr>
        <w:pStyle w:val="FirstParagraph"/>
      </w:pPr>
      <w:r>
        <w:t xml:space="preserve">Despite strong performance, we identified critical market challenges specific to orthodontist practices in India Bangalore:</w:t>
      </w:r>
    </w:p>
    <w:p>
      <w:pPr>
        <w:numPr>
          <w:ilvl w:val="0"/>
          <w:numId w:val="1003"/>
        </w:numPr>
        <w:pStyle w:val="Compact"/>
      </w:pPr>
      <w:r>
        <w:rPr>
          <w:bCs/>
          <w:b/>
        </w:rPr>
        <w:t xml:space="preserve">Insurance Limitations:</w:t>
      </w:r>
      <w:r>
        <w:t xml:space="preserve"> </w:t>
      </w:r>
      <w:r>
        <w:t xml:space="preserve">Only 14% of patients had dental insurance coverage (vs. 58% in Western markets). *Mitigation: Launched "Flexible Payment Plans" with zero-interest EMI options – adopted by 63% of new patients</w:t>
      </w:r>
    </w:p>
    <w:p>
      <w:pPr>
        <w:numPr>
          <w:ilvl w:val="0"/>
          <w:numId w:val="1003"/>
        </w:numPr>
        <w:pStyle w:val="Compact"/>
      </w:pPr>
      <w:r>
        <w:rPr>
          <w:bCs/>
          <w:b/>
        </w:rPr>
        <w:t xml:space="preserve">Cultural Perceptions:</w:t>
      </w:r>
      <w:r>
        <w:t xml:space="preserve"> </w:t>
      </w:r>
      <w:r>
        <w:t xml:space="preserve">Some parents still view orthodontics as "cosmetic rather than essential." *Mitigation: Implemented free educational workshops at community centers addressing oral health impacts on academics (e.g., "How straight teeth improve concentration in school")</w:t>
      </w:r>
    </w:p>
    <w:p>
      <w:pPr>
        <w:numPr>
          <w:ilvl w:val="0"/>
          <w:numId w:val="1003"/>
        </w:numPr>
        <w:pStyle w:val="Compact"/>
      </w:pPr>
      <w:r>
        <w:rPr>
          <w:bCs/>
          <w:b/>
        </w:rPr>
        <w:t xml:space="preserve">Talent Retention:</w:t>
      </w:r>
      <w:r>
        <w:t xml:space="preserve"> </w:t>
      </w:r>
      <w:r>
        <w:t xml:space="preserve">High competition for skilled dental technicians in Bangalore. *Mitigation: Introduced performance-linked bonuses and leadership training programs – reducing staff turnover by 28% YoY</w:t>
      </w:r>
    </w:p>
    <w:bookmarkEnd w:id="25"/>
    <w:bookmarkStart w:id="26" w:name="X116c35c70cf297902cb0e81d4038bd769b905a9"/>
    <w:p>
      <w:pPr>
        <w:pStyle w:val="Heading2"/>
      </w:pPr>
      <w:r>
        <w:t xml:space="preserve">VII. Strategic Recommendations for Q4 2023 &amp; Beyond</w:t>
      </w:r>
    </w:p>
    <w:p>
      <w:pPr>
        <w:numPr>
          <w:ilvl w:val="0"/>
          <w:numId w:val="1004"/>
        </w:numPr>
        <w:pStyle w:val="Compact"/>
      </w:pPr>
      <w:r>
        <w:rPr>
          <w:bCs/>
          <w:b/>
        </w:rPr>
        <w:t xml:space="preserve">Expand Community Health Outreach:</w:t>
      </w:r>
      <w:r>
        <w:t xml:space="preserve"> </w:t>
      </w:r>
      <w:r>
        <w:t xml:space="preserve">Partner with Bangalore Municipal Corporation (BMC) to conduct free orthodontic screenings at 10+ municipal schools during winter season</w:t>
      </w:r>
    </w:p>
    <w:p>
      <w:pPr>
        <w:numPr>
          <w:ilvl w:val="0"/>
          <w:numId w:val="1004"/>
        </w:numPr>
        <w:pStyle w:val="Compact"/>
      </w:pPr>
      <w:r>
        <w:rPr>
          <w:bCs/>
          <w:b/>
        </w:rPr>
        <w:t xml:space="preserve">Develop Premium Tier Service:</w:t>
      </w:r>
      <w:r>
        <w:t xml:space="preserve"> </w:t>
      </w:r>
      <w:r>
        <w:t xml:space="preserve">Introduce "Orthodontist Concierge Package" for high-net-worth individuals in Whitefield and JP Nagar areas (target: ₹2.5L+ treatment plans)</w:t>
      </w:r>
    </w:p>
    <w:p>
      <w:pPr>
        <w:numPr>
          <w:ilvl w:val="0"/>
          <w:numId w:val="1004"/>
        </w:numPr>
        <w:pStyle w:val="Compact"/>
      </w:pPr>
      <w:r>
        <w:rPr>
          <w:bCs/>
          <w:b/>
        </w:rPr>
        <w:t xml:space="preserve">Leverage Technology:</w:t>
      </w:r>
      <w:r>
        <w:t xml:space="preserve"> </w:t>
      </w:r>
      <w:r>
        <w:t xml:space="preserve">Launch AI-powered virtual smile simulation tool compatible with Indian skin tones for enhanced patient visualization</w:t>
      </w:r>
    </w:p>
    <w:p>
      <w:pPr>
        <w:numPr>
          <w:ilvl w:val="0"/>
          <w:numId w:val="1004"/>
        </w:numPr>
        <w:pStyle w:val="Compact"/>
      </w:pPr>
      <w:r>
        <w:rPr>
          <w:bCs/>
          <w:b/>
        </w:rPr>
        <w:t xml:space="preserve">Strengthen Local Partnerships:</w:t>
      </w:r>
      <w:r>
        <w:t xml:space="preserve"> </w:t>
      </w:r>
      <w:r>
        <w:t xml:space="preserve">Formalize agreements with 3 more corporate wellness programs (e.g., Infosys, Wipro) for employee dental benefits</w:t>
      </w:r>
    </w:p>
    <w:bookmarkEnd w:id="26"/>
    <w:bookmarkStart w:id="27" w:name="X43586a452abfca5084781ed2da6a20f10a0c692"/>
    <w:p>
      <w:pPr>
        <w:pStyle w:val="Heading2"/>
      </w:pPr>
      <w:r>
        <w:t xml:space="preserve">VIII. Conclusion: The Future of Orthodontics in Bangalore, India</w:t>
      </w:r>
    </w:p>
    <w:p>
      <w:pPr>
        <w:pStyle w:val="FirstParagraph"/>
      </w:pPr>
      <w:r>
        <w:t xml:space="preserve">This Sales Report affirms that our orthodontist practice has become a market leader in Bangalore, India – not merely through clinical excellence but by deeply understanding the cultural and economic fabric of this dynamic city. With rising middle-class confidence and shifting attitudes toward oral aesthetics, the demand for specialized orthodontic care will continue accelerating. Our commitment to integrating modern dentistry with Indian patient expectations positions us uniquely for sustained growth. We project 30% revenue growth in 2024, driven by our expansion into Tier-1 suburbs like Electronic City and successful adaptation of our sales model to India's evolving dental healthcare landscape. As the premier orthodontist practice in Bangalore, we are not just delivering straighter smiles – we're contributing to a healthier, more confident generation of Indians.</w:t>
      </w:r>
    </w:p>
    <w:p>
      <w:pPr>
        <w:pStyle w:val="BodyText"/>
      </w:pPr>
      <w:r>
        <w:rPr>
          <w:bCs/>
          <w:b/>
        </w:rPr>
        <w:t xml:space="preserve">Appendix:</w:t>
      </w:r>
      <w:r>
        <w:t xml:space="preserve"> </w:t>
      </w:r>
      <w:r>
        <w:t xml:space="preserve">Full quarterly financials, patient satisfaction scores by neighborhood (Bangalore), and competitor analysis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Bangalore India</dc:title>
  <dc:creator/>
  <dc:language>en</dc:language>
  <cp:keywords/>
  <dcterms:created xsi:type="dcterms:W3CDTF">2026-07-23T19:19:22Z</dcterms:created>
  <dcterms:modified xsi:type="dcterms:W3CDTF">2026-07-23T19:19:22Z</dcterms:modified>
</cp:coreProperties>
</file>

<file path=docProps/custom.xml><?xml version="1.0" encoding="utf-8"?>
<Properties xmlns="http://schemas.openxmlformats.org/officeDocument/2006/custom-properties" xmlns:vt="http://schemas.openxmlformats.org/officeDocument/2006/docPropsVTypes"/>
</file>