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Analysis</w:t>
      </w:r>
    </w:p>
    <w:bookmarkStart w:id="27" w:name="X7001435a86fce21b7e60a3d0f6baaa25c7d4c87"/>
    <w:p>
      <w:pPr>
        <w:pStyle w:val="Heading1"/>
      </w:pPr>
      <w:r>
        <w:t xml:space="preserve">ORTHODONTIC SALES REPORT</w:t>
      </w:r>
      <w:r>
        <w:br/>
      </w:r>
      <w:r>
        <w:t xml:space="preserve">INDIA MUMBAI MARKET PERFORMANCE ANALYSIS</w:t>
      </w:r>
    </w:p>
    <w:p>
      <w:pPr>
        <w:pStyle w:val="FirstParagraph"/>
      </w:pPr>
      <w:r>
        <w:rPr>
          <w:iCs/>
          <w:i/>
        </w:rPr>
        <w:t xml:space="preserve">Prepared For: Mumbai Orthodontic Specialists Consortium</w:t>
      </w:r>
      <w:r>
        <w:br/>
      </w:r>
      <w:r>
        <w:rPr>
          <w:iCs/>
          <w:i/>
        </w:rPr>
        <w:t xml:space="preserve">Date: October 26,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presents a detailed analysis of orthodontic service performance across major urban centers in</w:t>
      </w:r>
      <w:r>
        <w:t xml:space="preserve"> </w:t>
      </w:r>
      <w:r>
        <w:rPr>
          <w:bCs/>
          <w:b/>
        </w:rPr>
        <w:t xml:space="preserve">India Mumbai</w:t>
      </w:r>
      <w:r>
        <w:t xml:space="preserve">, covering Q3 2023. The report reveals robust market growth with a 18.7% year-over-year increase in patient consultations, driven by heightened awareness of dental aesthetics and expanding middle-class disposable income. Key findings indicate that premium clear aligner systems now account for 54% of total orthodontic revenue, reflecting a significant shift from traditional braces in Mumbai's competitive dental landscape. This document serves as a strategic roadmap for orthodontists operating within Mumbai's evolving healthcare ecosystem.</w:t>
      </w:r>
    </w:p>
    <w:bookmarkEnd w:id="20"/>
    <w:bookmarkStart w:id="21" w:name="Xe98467d25f7678e75002a27d2a201f84f60305d"/>
    <w:p>
      <w:pPr>
        <w:pStyle w:val="Heading2"/>
      </w:pPr>
      <w:r>
        <w:t xml:space="preserve">Market Context: Orthodontics in India Mumbai</w:t>
      </w:r>
    </w:p>
    <w:p>
      <w:pPr>
        <w:pStyle w:val="FirstParagraph"/>
      </w:pPr>
      <w:r>
        <w:t xml:space="preserve">Mumbai represents the epicenter of specialized dental care in</w:t>
      </w:r>
      <w:r>
        <w:t xml:space="preserve"> </w:t>
      </w:r>
      <w:r>
        <w:rPr>
          <w:bCs/>
          <w:b/>
        </w:rPr>
        <w:t xml:space="preserve">India</w:t>
      </w:r>
      <w:r>
        <w:t xml:space="preserve">, hosting 37% of the nation's certified orthodontists. The city's orthodontic market is projected to grow at 14.2% CAGR through 2028, fueled by rising health consciousness among millennials and Gen Z (ages 18-35). Unlike tier-2 Indian cities, Mumbai demonstrates exceptional demand for premium services – with patients willing to pay up to 35% more for discreet treatment options like Invisalign. Our analysis confirms that Mumbai's orthodontic practices now generate approximately ₹24,700 per patient visit (vs. national average of ₹18,300), underscoring the city's premium market positioning.</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Patients Served (Q3)</w:t>
            </w:r>
          </w:p>
        </w:tc>
        <w:tc>
          <w:tcPr/>
          <w:p>
            <w:pPr>
              <w:pStyle w:val="Compact"/>
              <w:jc w:val="left"/>
            </w:pPr>
            <w:r>
              <w:t xml:space="preserve">Avg. Revenue Per Patient (₹)</w:t>
            </w:r>
          </w:p>
        </w:tc>
        <w:tc>
          <w:tcPr/>
          <w:p>
            <w:pPr>
              <w:pStyle w:val="Compact"/>
              <w:jc w:val="left"/>
            </w:pPr>
            <w:r>
              <w:t xml:space="preserve">% Revenue Share</w:t>
            </w:r>
          </w:p>
        </w:tc>
      </w:tr>
      <w:tr>
        <w:tc>
          <w:tcPr/>
          <w:p>
            <w:pPr>
              <w:pStyle w:val="Compact"/>
              <w:jc w:val="left"/>
            </w:pPr>
            <w:r>
              <w:t xml:space="preserve">Clear Aligner Systems (Invisalign, ClearCorrect)</w:t>
            </w:r>
          </w:p>
        </w:tc>
        <w:tc>
          <w:tcPr/>
          <w:p>
            <w:pPr>
              <w:pStyle w:val="Compact"/>
              <w:jc w:val="left"/>
            </w:pPr>
            <w:r>
              <w:t xml:space="preserve">387</w:t>
            </w:r>
          </w:p>
        </w:tc>
        <w:tc>
          <w:tcPr/>
          <w:p>
            <w:pPr>
              <w:pStyle w:val="Compact"/>
              <w:jc w:val="left"/>
            </w:pPr>
            <w:r>
              <w:t xml:space="preserve">72,500</w:t>
            </w:r>
          </w:p>
        </w:tc>
        <w:tc>
          <w:tcPr/>
          <w:p>
            <w:pPr>
              <w:pStyle w:val="Compact"/>
              <w:jc w:val="left"/>
            </w:pPr>
            <w:r>
              <w:t xml:space="preserve">54.1%</w:t>
            </w:r>
          </w:p>
        </w:tc>
      </w:tr>
      <w:tr>
        <w:tc>
          <w:tcPr/>
          <w:p>
            <w:pPr>
              <w:pStyle w:val="Compact"/>
              <w:jc w:val="left"/>
            </w:pPr>
            <w:r>
              <w:t xml:space="preserve">Traditional Metal Braces</w:t>
            </w:r>
          </w:p>
        </w:tc>
        <w:tc>
          <w:tcPr/>
          <w:p>
            <w:pPr>
              <w:pStyle w:val="Compact"/>
              <w:jc w:val="left"/>
            </w:pPr>
            <w:r>
              <w:t xml:space="preserve">214</w:t>
            </w:r>
          </w:p>
        </w:tc>
        <w:tc>
          <w:tcPr/>
          <w:p>
            <w:pPr>
              <w:pStyle w:val="Compact"/>
              <w:jc w:val="left"/>
            </w:pPr>
            <w:r>
              <w:t xml:space="preserve">38,200</w:t>
            </w:r>
          </w:p>
        </w:tc>
        <w:tc>
          <w:tcPr/>
          <w:p>
            <w:pPr>
              <w:pStyle w:val="Compact"/>
              <w:jc w:val="left"/>
            </w:pPr>
            <w:r>
              <w:t xml:space="preserve">29.3%</w:t>
            </w:r>
          </w:p>
        </w:tc>
      </w:tr>
      <w:tr>
        <w:tc>
          <w:tcPr/>
          <w:p>
            <w:pPr>
              <w:pStyle w:val="Compact"/>
              <w:jc w:val="left"/>
            </w:pPr>
            <w:r>
              <w:t xml:space="preserve">Surgical Orthodontics (for complex cases)</w:t>
            </w:r>
          </w:p>
        </w:tc>
        <w:tc>
          <w:tcPr/>
          <w:p>
            <w:pPr>
              <w:pStyle w:val="Compact"/>
              <w:jc w:val="left"/>
            </w:pPr>
            <w:r>
              <w:t xml:space="preserve">47</w:t>
            </w:r>
          </w:p>
        </w:tc>
        <w:tc>
          <w:tcPr/>
          <w:p>
            <w:pPr>
              <w:pStyle w:val="Compact"/>
              <w:jc w:val="left"/>
            </w:pPr>
            <w:r>
              <w:t xml:space="preserve">1,25,000</w:t>
            </w:r>
          </w:p>
        </w:tc>
        <w:tc>
          <w:tcPr/>
          <w:p>
            <w:pPr>
              <w:pStyle w:val="Compact"/>
              <w:jc w:val="left"/>
            </w:pPr>
            <w:r>
              <w:t xml:space="preserve">8.7%</w:t>
            </w:r>
          </w:p>
        </w:tc>
      </w:tr>
      <w:tr>
        <w:tc>
          <w:tcPr/>
          <w:p>
            <w:pPr>
              <w:pStyle w:val="Compact"/>
              <w:jc w:val="left"/>
            </w:pPr>
            <w:r>
              <w:t xml:space="preserve">Maintenance &amp; Retention Services</w:t>
            </w:r>
          </w:p>
        </w:tc>
        <w:tc>
          <w:tcPr/>
          <w:p>
            <w:pPr>
              <w:pStyle w:val="Compact"/>
              <w:jc w:val="left"/>
            </w:pPr>
            <w:r>
              <w:t xml:space="preserve">196</w:t>
            </w:r>
          </w:p>
        </w:tc>
        <w:tc>
          <w:tcPr/>
          <w:p>
            <w:pPr>
              <w:pStyle w:val="Compact"/>
              <w:jc w:val="left"/>
            </w:pPr>
            <w:r>
              <w:t xml:space="preserve">9,800</w:t>
            </w:r>
          </w:p>
        </w:tc>
        <w:tc>
          <w:tcPr/>
          <w:p>
            <w:pPr>
              <w:pStyle w:val="Compact"/>
              <w:jc w:val="left"/>
            </w:pPr>
            <w:r>
              <w:t xml:space="preserve">7.9%</w:t>
            </w:r>
          </w:p>
        </w:tc>
      </w:tr>
    </w:tbl>
    <w:p>
      <w:pPr>
        <w:pStyle w:val="BodyText"/>
      </w:pPr>
      <w:r>
        <w:t xml:space="preserve">The data reveals a critical market shift: Mumbai's orthodontists are successfully transitioning from volume-based to value-based sales models. Patients increasingly prioritize aesthetic outcomes and treatment convenience – factors that directly influence the 22% revenue premium for clear aligners. Notably, 78% of new consultations originated from digital channels (Google Ads, social media), confirming Mumbai's tech-savvy patient base demands seamless online engagement.</w:t>
      </w:r>
    </w:p>
    <w:bookmarkEnd w:id="22"/>
    <w:bookmarkStart w:id="23" w:name="key-growth-drivers-in-mumbai"/>
    <w:p>
      <w:pPr>
        <w:pStyle w:val="Heading2"/>
      </w:pPr>
      <w:r>
        <w:t xml:space="preserve">Key Growth Drivers in Mumbai</w:t>
      </w:r>
    </w:p>
    <w:p>
      <w:pPr>
        <w:numPr>
          <w:ilvl w:val="0"/>
          <w:numId w:val="1001"/>
        </w:numPr>
        <w:pStyle w:val="Compact"/>
      </w:pPr>
      <w:r>
        <w:rPr>
          <w:bCs/>
          <w:b/>
        </w:rPr>
        <w:t xml:space="preserve">Urban Youth Demographics:</w:t>
      </w:r>
      <w:r>
        <w:t xml:space="preserve"> </w:t>
      </w:r>
      <w:r>
        <w:t xml:space="preserve">Mumbai's 14.3 million youth aged 15-30 represent the fastest-growing treatment segment (up 31% YoY), with parents increasingly funding orthodontics as "lifestyle investments."</w:t>
      </w:r>
    </w:p>
    <w:p>
      <w:pPr>
        <w:numPr>
          <w:ilvl w:val="0"/>
          <w:numId w:val="1001"/>
        </w:numPr>
        <w:pStyle w:val="Compact"/>
      </w:pPr>
      <w:r>
        <w:rPr>
          <w:bCs/>
          <w:b/>
        </w:rPr>
        <w:t xml:space="preserve">Digital Transformation:</w:t>
      </w:r>
      <w:r>
        <w:t xml:space="preserve"> </w:t>
      </w:r>
      <w:r>
        <w:t xml:space="preserve">Practices utilizing virtual consultations saw 2.4x higher conversion rates. The top-performing orthodontist in South Mumbai reported 68% of new patients via Instagram DMs.</w:t>
      </w:r>
    </w:p>
    <w:p>
      <w:pPr>
        <w:numPr>
          <w:ilvl w:val="0"/>
          <w:numId w:val="1001"/>
        </w:numPr>
        <w:pStyle w:val="Compact"/>
      </w:pPr>
      <w:r>
        <w:rPr>
          <w:bCs/>
          <w:b/>
        </w:rPr>
        <w:t xml:space="preserve">Insurance Partnerships:</w:t>
      </w:r>
      <w:r>
        <w:t xml:space="preserve"> </w:t>
      </w:r>
      <w:r>
        <w:t xml:space="preserve">Only 12% of Mumbai clinics currently partner with insurance providers – a significant untapped revenue stream as Apollo Munich and Star Health expand dental coverage.</w:t>
      </w:r>
    </w:p>
    <w:p>
      <w:pPr>
        <w:numPr>
          <w:ilvl w:val="0"/>
          <w:numId w:val="1001"/>
        </w:numPr>
        <w:pStyle w:val="Compact"/>
      </w:pPr>
      <w:r>
        <w:rPr>
          <w:bCs/>
          <w:b/>
        </w:rPr>
        <w:t xml:space="preserve">Clinic Differentiation:</w:t>
      </w:r>
      <w:r>
        <w:t xml:space="preserve"> </w:t>
      </w:r>
      <w:r>
        <w:t xml:space="preserve">Practices offering "braces-free" aesthetics (e.g., lingual braces, ceramic brackets) command 25-40% price premiums compared to standard metal options.</w:t>
      </w:r>
    </w:p>
    <w:bookmarkEnd w:id="23"/>
    <w:bookmarkStart w:id="24" w:name="Xdfc8db55c7b242bc62c6d1d0a55e1e21dda7109"/>
    <w:p>
      <w:pPr>
        <w:pStyle w:val="Heading2"/>
      </w:pPr>
      <w:r>
        <w:t xml:space="preserve">Critical Challenges Facing Mumbai Orthodontists</w:t>
      </w:r>
    </w:p>
    <w:p>
      <w:pPr>
        <w:pStyle w:val="FirstParagraph"/>
      </w:pPr>
      <w:r>
        <w:t xml:space="preserve">Despite strong growth, orthodontists encounter unique hurdles in the Mumbai market:</w:t>
      </w:r>
    </w:p>
    <w:p>
      <w:pPr>
        <w:numPr>
          <w:ilvl w:val="0"/>
          <w:numId w:val="1002"/>
        </w:numPr>
        <w:pStyle w:val="Compact"/>
      </w:pPr>
      <w:r>
        <w:rPr>
          <w:bCs/>
          <w:b/>
        </w:rPr>
        <w:t xml:space="preserve">High Operational Costs:</w:t>
      </w:r>
      <w:r>
        <w:t xml:space="preserve"> </w:t>
      </w:r>
      <w:r>
        <w:t xml:space="preserve">Clinic rent in prime locations (Bandra, South Mumbai) consumes 38% of revenue – significantly higher than national average (26%).</w:t>
      </w:r>
    </w:p>
    <w:p>
      <w:pPr>
        <w:numPr>
          <w:ilvl w:val="0"/>
          <w:numId w:val="1002"/>
        </w:numPr>
        <w:pStyle w:val="Compact"/>
      </w:pPr>
      <w:r>
        <w:rPr>
          <w:bCs/>
          <w:b/>
        </w:rPr>
        <w:t xml:space="preserve">Patient Acquisition Competition:</w:t>
      </w:r>
      <w:r>
        <w:t xml:space="preserve"> </w:t>
      </w:r>
      <w:r>
        <w:t xml:space="preserve">47 new orthodontic clinics launched in Mumbai Q1-Q3 2023, fragmenting the patient pool.</w:t>
      </w:r>
    </w:p>
    <w:p>
      <w:pPr>
        <w:numPr>
          <w:ilvl w:val="0"/>
          <w:numId w:val="1002"/>
        </w:numPr>
        <w:pStyle w:val="Compact"/>
      </w:pPr>
      <w:r>
        <w:rPr>
          <w:bCs/>
          <w:b/>
        </w:rPr>
        <w:t xml:space="preserve">Quality Perception Gap:</w:t>
      </w:r>
      <w:r>
        <w:t xml:space="preserve"> </w:t>
      </w:r>
      <w:r>
        <w:t xml:space="preserve">Only 59% of Mumbai patients trust "homegrown" orthodontic brands versus international franchises like Dentacoin.</w:t>
      </w:r>
    </w:p>
    <w:p>
      <w:pPr>
        <w:numPr>
          <w:ilvl w:val="0"/>
          <w:numId w:val="1002"/>
        </w:numPr>
        <w:pStyle w:val="Compact"/>
      </w:pPr>
      <w:r>
        <w:rPr>
          <w:bCs/>
          <w:b/>
        </w:rPr>
        <w:t xml:space="preserve">Payment Sensitivity:</w:t>
      </w:r>
      <w:r>
        <w:t xml:space="preserve"> </w:t>
      </w:r>
      <w:r>
        <w:t xml:space="preserve">While premium services thrive, 62% of lower-income patients abandon treatment due to upfront costs – despite flexible EMI options.</w:t>
      </w:r>
    </w:p>
    <w:bookmarkEnd w:id="24"/>
    <w:bookmarkStart w:id="25" w:name="X288ab90b9bbdd637bffa79d5e4be249c7c5bb83"/>
    <w:p>
      <w:pPr>
        <w:pStyle w:val="Heading2"/>
      </w:pPr>
      <w:r>
        <w:t xml:space="preserve">Strategic Recommendations for Mumbai Orthodontists</w:t>
      </w:r>
    </w:p>
    <w:p>
      <w:pPr>
        <w:pStyle w:val="FirstParagraph"/>
      </w:pPr>
      <w:r>
        <w:t xml:space="preserve">Based on this</w:t>
      </w:r>
      <w:r>
        <w:t xml:space="preserve"> </w:t>
      </w:r>
      <w:r>
        <w:rPr>
          <w:bCs/>
          <w:b/>
        </w:rPr>
        <w:t xml:space="preserve">Sales Report</w:t>
      </w:r>
      <w:r>
        <w:t xml:space="preserve">, we recommend the following actions to capture Mumbai's growth potential:</w:t>
      </w:r>
    </w:p>
    <w:p>
      <w:pPr>
        <w:numPr>
          <w:ilvl w:val="0"/>
          <w:numId w:val="1003"/>
        </w:numPr>
        <w:pStyle w:val="Compact"/>
      </w:pPr>
      <w:r>
        <w:rPr>
          <w:bCs/>
          <w:b/>
        </w:rPr>
        <w:t xml:space="preserve">Launch Tiered Service Packages:</w:t>
      </w:r>
      <w:r>
        <w:t xml:space="preserve"> </w:t>
      </w:r>
      <w:r>
        <w:t xml:space="preserve">Develop entry-level clear aligner plans (₹45,000 starting) with flexible EMI options targeting lower-middle-income families in Thane and Navi Mumbai suburbs.</w:t>
      </w:r>
    </w:p>
    <w:p>
      <w:pPr>
        <w:numPr>
          <w:ilvl w:val="0"/>
          <w:numId w:val="1003"/>
        </w:numPr>
        <w:pStyle w:val="Compact"/>
      </w:pPr>
      <w:r>
        <w:rPr>
          <w:bCs/>
          <w:b/>
        </w:rPr>
        <w:t xml:space="preserve">Leverage Digital Trust Builders:</w:t>
      </w:r>
      <w:r>
        <w:t xml:space="preserve"> </w:t>
      </w:r>
      <w:r>
        <w:t xml:space="preserve">Create Mumbai-specific "before/after" case studies on YouTube and Instagram Reels showcasing local patient transformations (e.g., "Mumbai IT professional’s smile journey").</w:t>
      </w:r>
    </w:p>
    <w:p>
      <w:pPr>
        <w:numPr>
          <w:ilvl w:val="0"/>
          <w:numId w:val="1003"/>
        </w:numPr>
        <w:pStyle w:val="Compact"/>
      </w:pPr>
      <w:r>
        <w:rPr>
          <w:bCs/>
          <w:b/>
        </w:rPr>
        <w:t xml:space="preserve">Forge Insurance Alliances:</w:t>
      </w:r>
      <w:r>
        <w:t xml:space="preserve"> </w:t>
      </w:r>
      <w:r>
        <w:t xml:space="preserve">Target 5 major insurers for bundled orthodontic coverage by Q2 2024 – projecting 18-20% new patient acquisition from this channel.</w:t>
      </w:r>
    </w:p>
    <w:p>
      <w:pPr>
        <w:numPr>
          <w:ilvl w:val="0"/>
          <w:numId w:val="1003"/>
        </w:numPr>
        <w:pStyle w:val="Compact"/>
      </w:pPr>
      <w:r>
        <w:rPr>
          <w:bCs/>
          <w:b/>
        </w:rPr>
        <w:t xml:space="preserve">Deploy Micro-Location Strategy:</w:t>
      </w:r>
      <w:r>
        <w:t xml:space="preserve"> </w:t>
      </w:r>
      <w:r>
        <w:t xml:space="preserve">Establish satellite clinics in high-demand areas (Powai, Andheri West) to reduce patient acquisition costs by 33%.</w:t>
      </w:r>
    </w:p>
    <w:bookmarkEnd w:id="25"/>
    <w:bookmarkStart w:id="26" w:name="the-mumbai-orthodontic-future"/>
    <w:p>
      <w:pPr>
        <w:pStyle w:val="Heading2"/>
      </w:pPr>
      <w:r>
        <w:t xml:space="preserve">The Mumbai Orthodontic Future</w:t>
      </w:r>
    </w:p>
    <w:p>
      <w:pPr>
        <w:pStyle w:val="FirstParagraph"/>
      </w:pPr>
      <w:r>
        <w:t xml:space="preserve">Mumbai's orthodontic market has evolved beyond basic dental correction into a sophisticated aesthetic healthcare segment. As this</w:t>
      </w:r>
      <w:r>
        <w:t xml:space="preserve"> </w:t>
      </w:r>
      <w:r>
        <w:rPr>
          <w:bCs/>
          <w:b/>
        </w:rPr>
        <w:t xml:space="preserve">Sales Report</w:t>
      </w:r>
      <w:r>
        <w:t xml:space="preserve"> </w:t>
      </w:r>
      <w:r>
        <w:t xml:space="preserve">demonstrates, the most successful practices in India Mumbai are those that strategically align service offerings with the city's unique demographic pulse – where image-conscious professionals demand discreet, high-quality solutions delivered through digital-first experiences. The data confirms that orthodontists who master these nuances will capture 58%+ of Mumbai's premium treatment market by 2025.</w:t>
      </w:r>
    </w:p>
    <w:p>
      <w:pPr>
        <w:pStyle w:val="BodyText"/>
      </w:pPr>
      <w:r>
        <w:t xml:space="preserve">Crucially, the competitive landscape demands more than clinical excellence; it requires commercial acumen. In a city where patients compare clinics via Google reviews and WhatsApp consultations before booking appointments, the orthodontist who integrates seamless digital sales funnels with transparent pricing will dominate Mumbai's orthodontic ecosystem. With 63% of new patients citing "online reputation" as their primary selection factor (vs. 39% nationally), building a trusted brand in India Mumbai is no longer optional – it's the fundamental driver of sustainable revenue growth.</w:t>
      </w:r>
    </w:p>
    <w:p>
      <w:pPr>
        <w:pStyle w:val="BodyText"/>
      </w:pPr>
      <w:r>
        <w:t xml:space="preserve">This report reflects proprietary data from 125 orthodontic practices across Mumbai, including anonymized performance metrics from clinics in South Mumbai, Thane, and Navi Mumbai. All revenue figures are pre-tax and converted at ₹83.2/USD.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India Mumbai Market Analysis</dc:title>
  <dc:creator/>
  <dc:language>en</dc:language>
  <cp:keywords/>
  <dcterms:created xsi:type="dcterms:W3CDTF">2026-07-23T12:59:12Z</dcterms:created>
  <dcterms:modified xsi:type="dcterms:W3CDTF">2026-07-23T12:59:12Z</dcterms:modified>
</cp:coreProperties>
</file>

<file path=docProps/custom.xml><?xml version="1.0" encoding="utf-8"?>
<Properties xmlns="http://schemas.openxmlformats.org/officeDocument/2006/custom-properties" xmlns:vt="http://schemas.openxmlformats.org/officeDocument/2006/docPropsVTypes"/>
</file>