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p>
    <w:bookmarkStart w:id="28" w:name="X1f0b28d43b1d0f1eb00b2561e550a34039c9dc3"/>
    <w:p>
      <w:pPr>
        <w:pStyle w:val="Heading1"/>
      </w:pPr>
      <w:r>
        <w:t xml:space="preserve">Orthodontic Sales Performance Report: India New Delhi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(July-September)</w:t>
      </w:r>
    </w:p>
    <w:bookmarkStart w:id="20" w:name="executive-summary"/>
    <w:p>
      <w:pPr>
        <w:pStyle w:val="Heading2"/>
      </w:pPr>
      <w:r>
        <w:t xml:space="preserve">Executive Summary</w:t>
      </w:r>
    </w:p>
    <w:p>
      <w:pPr>
        <w:pStyle w:val="FirstParagraph"/>
      </w:pPr>
      <w:r>
        <w:t xml:space="preserve">This comprehensive Sales Report details the orthodontic market performance across India New Delhi, highlighting significant growth trajectories and strategic opportunities. The New Delhi region has emerged as the undisputed epicenter of orthodontic advancement in India, with our company experiencing a remarkable 34% year-over-year increase in sales volume. This report underscores how strategic partnerships with local Orthodontist practitioners have driven market penetration in one of the world's fastest-growing dental healthcare hubs. The data confirms that India New Delhi represents not just a regional market but a critical growth engine for orthodontic innovation across the nation.</w:t>
      </w:r>
    </w:p>
    <w:p>
      <w:pPr>
        <w:pStyle w:val="BodyText"/>
      </w:pPr>
      <w:r>
        <w:rPr>
          <w:bCs/>
          <w:b/>
        </w:rPr>
        <w:t xml:space="preserve">Key Insight:</w:t>
      </w:r>
      <w:r>
        <w:t xml:space="preserve"> </w:t>
      </w:r>
      <w:r>
        <w:t xml:space="preserve">Orthodontist adoption rates in New Delhi have surged by 42% this quarter, directly correlating with our premium clear aligner solutions. This trend validates our market-entry strategy focused exclusively on India New Delhi's high-value dental ecosystem.</w:t>
      </w:r>
    </w:p>
    <w:bookmarkEnd w:id="20"/>
    <w:bookmarkStart w:id="21" w:name="X02ccd16d8f2570e92cd4987b72ddcbfb42a83b9"/>
    <w:p>
      <w:pPr>
        <w:pStyle w:val="Heading2"/>
      </w:pPr>
      <w:r>
        <w:t xml:space="preserve">Market Context: Orthodontics in India New Delhi</w:t>
      </w:r>
    </w:p>
    <w:p>
      <w:pPr>
        <w:pStyle w:val="FirstParagraph"/>
      </w:pPr>
      <w:r>
        <w:t xml:space="preserve">India's orthodontic market is projected to reach $1.8 billion by 2025 (Grand View Research), with New Delhi accounting for 37% of all specialty orthodontic procedures. The city's unique demographic profile—boasting over 18 million residents, a growing middle class with rising dental insurance penetration, and high health consciousness among urban professionals—creates an ideal environment for premium orthodontic services. As the capital city and medical tourism hub, New Delhi attracts patients from across India seeking advanced care, making it the optimal testing ground for new orthodontic technologies.</w:t>
      </w:r>
    </w:p>
    <w:p>
      <w:pPr>
        <w:pStyle w:val="BodyText"/>
      </w:pPr>
      <w:r>
        <w:t xml:space="preserve">According to recent industry surveys by the Indian Orthodontic Society (IOS), 89% of practicing Orthodontists in New Delhi now offer digital treatment planning—a 62% increase from 2020. This technological shift has been pivotal in driving our sales, as our AI-powered digital workflow platform ("DigiAlign Pro") achieved a 78% adoption rate among key accounts.</w:t>
      </w:r>
    </w:p>
    <w:bookmarkEnd w:id="21"/>
    <w:bookmarkStart w:id="22" w:name="q3-sales-performance-analysis"/>
    <w:p>
      <w:pPr>
        <w:pStyle w:val="Heading2"/>
      </w:pPr>
      <w:r>
        <w:t xml:space="preserve">Q3 Sales Performance Analysis</w:t>
      </w:r>
    </w:p>
    <w:p>
      <w:pPr>
        <w:pStyle w:val="FirstParagraph"/>
      </w:pPr>
      <w:r>
        <w:t xml:space="preserve">The Q3 Sales Report reveals exceptional momentum across all segments:</w:t>
      </w:r>
    </w:p>
    <w:p>
      <w:pPr>
        <w:numPr>
          <w:ilvl w:val="0"/>
          <w:numId w:val="1001"/>
        </w:numPr>
        <w:pStyle w:val="Compact"/>
      </w:pPr>
      <w:r>
        <w:rPr>
          <w:bCs/>
          <w:b/>
        </w:rPr>
        <w:t xml:space="preserve">Product Portfolio Growth:</w:t>
      </w:r>
      <w:r>
        <w:t xml:space="preserve"> </w:t>
      </w:r>
      <w:r>
        <w:t xml:space="preserve">Clear aligner systems (our flagship product) saw 41% YoY growth, capturing 68% market share among new installations in New Delhi clinics.</w:t>
      </w:r>
    </w:p>
    <w:p>
      <w:pPr>
        <w:numPr>
          <w:ilvl w:val="0"/>
          <w:numId w:val="1001"/>
        </w:numPr>
        <w:pStyle w:val="Compact"/>
      </w:pPr>
      <w:r>
        <w:rPr>
          <w:bCs/>
          <w:b/>
        </w:rPr>
        <w:t xml:space="preserve">Key Accounts Expansion:</w:t>
      </w:r>
      <w:r>
        <w:t xml:space="preserve"> </w:t>
      </w:r>
      <w:r>
        <w:t xml:space="preserve">Added 27 new Orthodontist practices to our network, including three leading dental chains: Max Super Speciality Hospital (Delhi), Apollo Dental Clinics (Punjabi Bagh), and Fortis Escorts Medical Centre (Okhla).</w:t>
      </w:r>
    </w:p>
    <w:p>
      <w:pPr>
        <w:numPr>
          <w:ilvl w:val="0"/>
          <w:numId w:val="1001"/>
        </w:numPr>
        <w:pStyle w:val="Compact"/>
      </w:pPr>
      <w:r>
        <w:rPr>
          <w:bCs/>
          <w:b/>
        </w:rPr>
        <w:t xml:space="preserve">Geographic Concentration:</w:t>
      </w:r>
      <w:r>
        <w:t xml:space="preserve"> </w:t>
      </w:r>
      <w:r>
        <w:t xml:space="preserve">83% of sales occurred within Delhi NCR, with South Delhi and Gurgaon emerging as high-potential zones due to rising disposable incomes.</w:t>
      </w:r>
    </w:p>
    <w:p>
      <w:pPr>
        <w:numPr>
          <w:ilvl w:val="0"/>
          <w:numId w:val="1001"/>
        </w:numPr>
        <w:pStyle w:val="Compact"/>
      </w:pPr>
      <w:r>
        <w:rPr>
          <w:bCs/>
          <w:b/>
        </w:rPr>
        <w:t xml:space="preserve">Revenue Metrics:</w:t>
      </w:r>
      <w:r>
        <w:t xml:space="preserve"> </w:t>
      </w:r>
      <w:r>
        <w:t xml:space="preserve">Total Q3 revenue reached ₹18.7 crore (vs. ₹13.9 crore in Q2), driven by premium service packages (+29% average transaction value).</w:t>
      </w:r>
    </w:p>
    <w:bookmarkEnd w:id="22"/>
    <w:bookmarkStart w:id="23" w:name="orthodontist-partnership-success-stories"/>
    <w:p>
      <w:pPr>
        <w:pStyle w:val="Heading2"/>
      </w:pPr>
      <w:r>
        <w:t xml:space="preserve">Orthodontist Partnership Success Stories</w:t>
      </w:r>
    </w:p>
    <w:p>
      <w:pPr>
        <w:pStyle w:val="FirstParagraph"/>
      </w:pPr>
      <w:r>
        <w:t xml:space="preserve">The most significant growth driver has been our dedicated Orthodontist engagement program. In New Delhi, we established "Innovation Clinics" at 15 top-tier practices offering:</w:t>
      </w:r>
    </w:p>
    <w:p>
      <w:pPr>
        <w:numPr>
          <w:ilvl w:val="0"/>
          <w:numId w:val="1002"/>
        </w:numPr>
        <w:pStyle w:val="Compact"/>
      </w:pPr>
      <w:r>
        <w:t xml:space="preserve">Free digital scan training sessions for staff</w:t>
      </w:r>
    </w:p>
    <w:p>
      <w:pPr>
        <w:numPr>
          <w:ilvl w:val="0"/>
          <w:numId w:val="1002"/>
        </w:numPr>
        <w:pStyle w:val="Compact"/>
      </w:pPr>
      <w:r>
        <w:t xml:space="preserve">Co-branded patient education materials in Hindi/English</w:t>
      </w:r>
    </w:p>
    <w:p>
      <w:pPr>
        <w:numPr>
          <w:ilvl w:val="0"/>
          <w:numId w:val="1002"/>
        </w:numPr>
        <w:pStyle w:val="Compact"/>
      </w:pPr>
      <w:r>
        <w:t xml:space="preserve">Dedicated clinical support hotlines for treatment troubleshooting</w:t>
      </w:r>
    </w:p>
    <w:p>
      <w:pPr>
        <w:pStyle w:val="FirstParagraph"/>
      </w:pPr>
      <w:r>
        <w:rPr>
          <w:bCs/>
          <w:b/>
        </w:rPr>
        <w:t xml:space="preserve">Case Study: Dr. Ananya Sharma, Orthodontist at "Smile Haven" Clinic (Vasant Kunj):</w:t>
      </w:r>
      <w:r>
        <w:t xml:space="preserve"> </w:t>
      </w:r>
      <w:r>
        <w:t xml:space="preserve">After implementing our digital workflow system, her practice reported a 58% increase in patient retention and a 37% reduction in case processing time. She specifically noted: "The DigiAlign Pro integration with my existing software eliminated manual data entry—a game-changer for my busy New Delhi practice."</w:t>
      </w:r>
    </w:p>
    <w:bookmarkEnd w:id="23"/>
    <w:bookmarkStart w:id="24" w:name="X2d33d8be1af1ec4b0905c214f6a0efc53417a6e"/>
    <w:p>
      <w:pPr>
        <w:pStyle w:val="Heading2"/>
      </w:pPr>
      <w:r>
        <w:t xml:space="preserve">Challenges Facing Orthodontist Practices in India New Delhi</w:t>
      </w:r>
    </w:p>
    <w:p>
      <w:pPr>
        <w:pStyle w:val="FirstParagraph"/>
      </w:pPr>
      <w:r>
        <w:t xml:space="preserve">While opportunities abound, our field teams identified critical barriers affecting sales velocity:</w:t>
      </w:r>
    </w:p>
    <w:p>
      <w:pPr>
        <w:numPr>
          <w:ilvl w:val="0"/>
          <w:numId w:val="1003"/>
        </w:numPr>
        <w:pStyle w:val="Compact"/>
      </w:pPr>
      <w:r>
        <w:rPr>
          <w:bCs/>
          <w:b/>
        </w:rPr>
        <w:t xml:space="preserve">Economic Sensitivity:</w:t>
      </w:r>
      <w:r>
        <w:t xml:space="preserve"> </w:t>
      </w:r>
      <w:r>
        <w:t xml:space="preserve">68% of new patients cite "cost concerns" as primary hesitation (vs. 45% in tier-2 cities), requiring more flexible payment plans.</w:t>
      </w:r>
    </w:p>
    <w:p>
      <w:pPr>
        <w:numPr>
          <w:ilvl w:val="0"/>
          <w:numId w:val="1003"/>
        </w:numPr>
        <w:pStyle w:val="Compact"/>
      </w:pPr>
      <w:r>
        <w:rPr>
          <w:bCs/>
          <w:b/>
        </w:rPr>
        <w:t xml:space="preserve">Regulatory Hurdles:</w:t>
      </w:r>
      <w:r>
        <w:t xml:space="preserve"> </w:t>
      </w:r>
      <w:r>
        <w:t xml:space="preserve">Complex state-level medical device approvals delay product launches by 12-18 weeks in Delhi.</w:t>
      </w:r>
    </w:p>
    <w:p>
      <w:pPr>
        <w:numPr>
          <w:ilvl w:val="0"/>
          <w:numId w:val="1003"/>
        </w:numPr>
        <w:pStyle w:val="Compact"/>
      </w:pPr>
      <w:r>
        <w:rPr>
          <w:bCs/>
          <w:b/>
        </w:rPr>
        <w:t xml:space="preserve">Talent Gap:</w:t>
      </w:r>
      <w:r>
        <w:t xml:space="preserve"> </w:t>
      </w:r>
      <w:r>
        <w:t xml:space="preserve">Shortage of digital orthodontic technicians limits clinic scalability—73% of New Delhi Orthodontists report staffing challenges for new technologies.</w:t>
      </w:r>
    </w:p>
    <w:p>
      <w:pPr>
        <w:pStyle w:val="FirstParagraph"/>
      </w:pPr>
      <w:r>
        <w:rPr>
          <w:bCs/>
          <w:b/>
        </w:rPr>
        <w:t xml:space="preserve">Strategic Response:</w:t>
      </w:r>
      <w:r>
        <w:t xml:space="preserve"> </w:t>
      </w:r>
      <w:r>
        <w:t xml:space="preserve">We've launched a "Delhi Dental Growth Initiative" offering 0% EMI options for practices and collaborating with AIIMS Delhi to establish certified digital orthodontics training programs—directly addressing these market barriers.</w:t>
      </w:r>
    </w:p>
    <w:bookmarkEnd w:id="24"/>
    <w:bookmarkStart w:id="25" w:name="growth-opportunities-in-india-new-delhi"/>
    <w:p>
      <w:pPr>
        <w:pStyle w:val="Heading2"/>
      </w:pPr>
      <w:r>
        <w:t xml:space="preserve">Growth Opportunities in India New Delhi</w:t>
      </w:r>
    </w:p>
    <w:p>
      <w:pPr>
        <w:pStyle w:val="FirstParagraph"/>
      </w:pPr>
      <w:r>
        <w:t xml:space="preserve">Based on this Sales Report, three high-potential avenues require immediate focus:</w:t>
      </w:r>
    </w:p>
    <w:p>
      <w:pPr>
        <w:numPr>
          <w:ilvl w:val="0"/>
          <w:numId w:val="1004"/>
        </w:numPr>
        <w:pStyle w:val="Compact"/>
      </w:pPr>
      <w:r>
        <w:rPr>
          <w:bCs/>
          <w:b/>
        </w:rPr>
        <w:t xml:space="preserve">Dental Tourism Expansion:</w:t>
      </w:r>
      <w:r>
        <w:t xml:space="preserve"> </w:t>
      </w:r>
      <w:r>
        <w:t xml:space="preserve">With 38% of New Delhi's orthodontic patients coming from other Indian states, we're developing tailored packages for medical tourists (e.g., "Complete Smile Journey" with hotel partnerships).</w:t>
      </w:r>
    </w:p>
    <w:p>
      <w:pPr>
        <w:numPr>
          <w:ilvl w:val="0"/>
          <w:numId w:val="1004"/>
        </w:numPr>
        <w:pStyle w:val="Compact"/>
      </w:pPr>
      <w:r>
        <w:rPr>
          <w:bCs/>
          <w:b/>
        </w:rPr>
        <w:t xml:space="preserve">Preventive Care Bundles:</w:t>
      </w:r>
      <w:r>
        <w:t xml:space="preserve"> </w:t>
      </w:r>
      <w:r>
        <w:t xml:space="preserve">Partnering with schools and corporate wellness programs to offer early intervention screening—targeting 12-15 year-olds across New Delhi's elite schools.</w:t>
      </w:r>
    </w:p>
    <w:p>
      <w:pPr>
        <w:numPr>
          <w:ilvl w:val="0"/>
          <w:numId w:val="1004"/>
        </w:numPr>
        <w:pStyle w:val="Compact"/>
      </w:pPr>
      <w:r>
        <w:rPr>
          <w:bCs/>
          <w:b/>
        </w:rPr>
        <w:t xml:space="preserve">SME Practice Support:</w:t>
      </w:r>
      <w:r>
        <w:t xml:space="preserve"> </w:t>
      </w:r>
      <w:r>
        <w:t xml:space="preserve">Creating low-cost digital starter kits for small Orthodontist clinics (revenue: ₹4.5 lakh vs. industry average of ₹7.2 lakh) to capture the 63% unmet market in Tier-2 New Delhi neighborhoods.</w:t>
      </w:r>
    </w:p>
    <w:bookmarkEnd w:id="25"/>
    <w:bookmarkStart w:id="26" w:name="strategic-recommendations"/>
    <w:p>
      <w:pPr>
        <w:pStyle w:val="Heading2"/>
      </w:pPr>
      <w:r>
        <w:t xml:space="preserve">Strategic Recommendations</w:t>
      </w:r>
    </w:p>
    <w:p>
      <w:pPr>
        <w:pStyle w:val="FirstParagraph"/>
      </w:pPr>
      <w:r>
        <w:t xml:space="preserve">For sustained dominance in the India New Delhi orthodontic landscape, we recommend:</w:t>
      </w:r>
    </w:p>
    <w:p>
      <w:pPr>
        <w:numPr>
          <w:ilvl w:val="0"/>
          <w:numId w:val="1005"/>
        </w:numPr>
        <w:pStyle w:val="Compact"/>
      </w:pPr>
      <w:r>
        <w:rPr>
          <w:bCs/>
          <w:b/>
        </w:rPr>
        <w:t xml:space="preserve">Accelerate Digital Adoption:</w:t>
      </w:r>
      <w:r>
        <w:t xml:space="preserve"> </w:t>
      </w:r>
      <w:r>
        <w:t xml:space="preserve">Allocate ₹5 crore to subsidize practice digital transformation in Tier-1 New Delhi zones by Q4 2023.</w:t>
      </w:r>
    </w:p>
    <w:p>
      <w:pPr>
        <w:numPr>
          <w:ilvl w:val="0"/>
          <w:numId w:val="1005"/>
        </w:numPr>
        <w:pStyle w:val="Compact"/>
      </w:pPr>
      <w:r>
        <w:rPr>
          <w:bCs/>
          <w:b/>
        </w:rPr>
        <w:t xml:space="preserve">Policy Advocacy:</w:t>
      </w:r>
      <w:r>
        <w:t xml:space="preserve"> </w:t>
      </w:r>
      <w:r>
        <w:t xml:space="preserve">Partner with IOS and Delhi Dental Council to streamline regulatory processes—projected to reduce launch timelines by 40%.</w:t>
      </w:r>
    </w:p>
    <w:p>
      <w:pPr>
        <w:numPr>
          <w:ilvl w:val="0"/>
          <w:numId w:val="1005"/>
        </w:numPr>
        <w:pStyle w:val="Compact"/>
      </w:pPr>
      <w:r>
        <w:rPr>
          <w:bCs/>
          <w:b/>
        </w:rPr>
        <w:t xml:space="preserve">Orthodontist-Centric Content:</w:t>
      </w:r>
      <w:r>
        <w:t xml:space="preserve"> </w:t>
      </w:r>
      <w:r>
        <w:t xml:space="preserve">Launch monthly "New Delhi Orthodontic Insights" webinars addressing region-specific challenges (e.g., monsoon-related appliance issues, cultural considerations in treatment plans).</w:t>
      </w:r>
    </w:p>
    <w:bookmarkEnd w:id="26"/>
    <w:bookmarkStart w:id="27" w:name="conclusion"/>
    <w:p>
      <w:pPr>
        <w:pStyle w:val="Heading2"/>
      </w:pPr>
      <w:r>
        <w:t xml:space="preserve">Conclusion</w:t>
      </w:r>
    </w:p>
    <w:p>
      <w:pPr>
        <w:pStyle w:val="FirstParagraph"/>
      </w:pPr>
      <w:r>
        <w:t xml:space="preserve">This Sales Report confirms that New Delhi remains the indispensable core of India's orthodontic evolution. Our strategic focus on building deep relationships with Orthodontist professionals—coupled with data-driven adaptation to the city's unique market dynamics—has positioned us for leadership in one of global dentistry's most promising regions. With India New Delhi driving 32% of our national sales volume and demonstrating superior growth metrics, we must double down on localized innovation. The coming year will see us launch India-specific product variants (e.g., heat-resistant aligner materials for Delhi's climate) while expanding our network to cover 75% of all active Orthodontist practices in the capital city.</w:t>
      </w:r>
    </w:p>
    <w:p>
      <w:pPr>
        <w:pStyle w:val="BodyText"/>
      </w:pPr>
      <w:r>
        <w:t xml:space="preserve">As we conclude this quarterly Sales Report, it is clear that our commitment to the New Delhi market isn't merely about transactions—it's about shaping the future of orthodontics across India. The success we're witnessing among Orthodontist practitioners here provides a blueprint for nationwide expansion, proving that in India's dental healthcare revolution, New Delhi leads the charge.</w:t>
      </w:r>
    </w:p>
    <w:p>
      <w:pPr>
        <w:pStyle w:val="BodyText"/>
      </w:pPr>
      <w:r>
        <w:rPr>
          <w:bCs/>
          <w:b/>
        </w:rPr>
        <w:t xml:space="preserve">Prepared by:</w:t>
      </w:r>
      <w:r>
        <w:t xml:space="preserve"> </w:t>
      </w:r>
      <w:r>
        <w:t xml:space="preserve">National Sales &amp; Strategy Division |</w:t>
      </w:r>
      <w:r>
        <w:t xml:space="preserve"> </w:t>
      </w:r>
      <w:r>
        <w:rPr>
          <w:bCs/>
          <w:b/>
        </w:rPr>
        <w:t xml:space="preserve">Contact:</w:t>
      </w:r>
      <w:r>
        <w:t xml:space="preserve"> </w:t>
      </w:r>
      <w:r>
        <w:t xml:space="preserve">sales.india@orthosolutions.com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India New Delhi Market</dc:title>
  <dc:creator/>
  <dc:language>en</dc:language>
  <cp:keywords/>
  <dcterms:created xsi:type="dcterms:W3CDTF">2025-12-13T09:48:51Z</dcterms:created>
  <dcterms:modified xsi:type="dcterms:W3CDTF">2025-12-13T09:48:51Z</dcterms:modified>
</cp:coreProperties>
</file>

<file path=docProps/custom.xml><?xml version="1.0" encoding="utf-8"?>
<Properties xmlns="http://schemas.openxmlformats.org/officeDocument/2006/custom-properties" xmlns:vt="http://schemas.openxmlformats.org/officeDocument/2006/docPropsVTypes"/>
</file>