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30" w:name="orthodontic-sales-report"/>
    <w:p>
      <w:pPr>
        <w:pStyle w:val="Heading1"/>
      </w:pPr>
      <w:r>
        <w:t xml:space="preserve">Orthodontic Sales Report</w:t>
      </w:r>
    </w:p>
    <w:bookmarkStart w:id="20" w:name="Xfa3bde6b7d3da30d9c75bb022214fd23016d6e5"/>
    <w:p>
      <w:pPr>
        <w:pStyle w:val="Heading2"/>
      </w:pPr>
      <w:r>
        <w:t xml:space="preserve">Indonesia Jakarta Market Performance Analysis</w:t>
      </w:r>
    </w:p>
    <w:p>
      <w:pPr>
        <w:pStyle w:val="FirstParagraph"/>
      </w:pPr>
      <w:r>
        <w:t xml:space="preserve">Prepared for Orthodontist Practice Leadership | Q3 2023 | Jakarta, Indonesia</w:t>
      </w:r>
    </w:p>
    <w:bookmarkEnd w:id="20"/>
    <w:bookmarkStart w:id="21" w:name="executive-summary"/>
    <w:p>
      <w:pPr>
        <w:pStyle w:val="Heading2"/>
      </w:pPr>
      <w:r>
        <w:t xml:space="preserve">Executive Summary</w:t>
      </w:r>
    </w:p>
    <w:p>
      <w:pPr>
        <w:pStyle w:val="FirstParagraph"/>
      </w:pPr>
      <w:r>
        <w:t xml:space="preserve">This comprehensive Sales Report details the orthodontic market performance of our practice within Indonesia Jakarta during Q3 2023. As a leading Orthodontist clinic operating in the dynamic Jakarta metropolis, we have achieved significant growth in patient acquisition and service revenue despite economic fluctuations. The report analyzes key sales metrics, competitive positioning, and strategic opportunities specific to the Indonesian orthodontic landscape. With over 10 million residents in Greater Jakarta demanding advanced dental solutions, our practice has solidified its position as a premier Orthodontist provider through innovative service delivery and culturally attuned patient engagement strategies.</w:t>
      </w:r>
    </w:p>
    <w:bookmarkEnd w:id="21"/>
    <w:bookmarkStart w:id="22" w:name="market-context-in-indonesia-jakarta"/>
    <w:p>
      <w:pPr>
        <w:pStyle w:val="Heading2"/>
      </w:pPr>
      <w:r>
        <w:t xml:space="preserve">Market Context in Indonesia Jakarta</w:t>
      </w:r>
    </w:p>
    <w:p>
      <w:pPr>
        <w:pStyle w:val="FirstParagraph"/>
      </w:pPr>
      <w:r>
        <w:t xml:space="preserve">Indonesia's orthodontic market is experiencing unprecedented growth, driven by rising disposable incomes and increased dental awareness among urban populations. In Jakarta alone, we observe a 32% annual increase in orthodontic consultations since 2019, with the middle-class demographic (ages 15-40) representing the fastest-growing segment. This trend aligns perfectly with our practice's strategic focus on providing premium yet accessible orthodontic solutions. The Indonesian Dental Association reports that Jakarta accounts for over 35% of all orthodontic procedures in Indonesia, making it the critical growth engine for our entire regional business strategy.</w:t>
      </w:r>
    </w:p>
    <w:bookmarkEnd w:id="22"/>
    <w:bookmarkStart w:id="25" w:name="sales-performance-breakdown"/>
    <w:p>
      <w:pPr>
        <w:pStyle w:val="Heading2"/>
      </w:pPr>
      <w:r>
        <w:t xml:space="preserve">Sales Performance Breakdown</w:t>
      </w:r>
    </w:p>
    <w:bookmarkStart w:id="23" w:name="service-revenue-analysis-q3-2023"/>
    <w:p>
      <w:pPr>
        <w:pStyle w:val="Heading3"/>
      </w:pPr>
      <w:r>
        <w:t xml:space="preserve">Service Revenue Analysis (Q3 2023)</w:t>
      </w:r>
    </w:p>
    <w:p>
      <w:pPr>
        <w:numPr>
          <w:ilvl w:val="0"/>
          <w:numId w:val="1001"/>
        </w:numPr>
        <w:pStyle w:val="Compact"/>
      </w:pPr>
      <w:r>
        <w:rPr>
          <w:bCs/>
          <w:b/>
        </w:rPr>
        <w:t xml:space="preserve">Traditional Metal Braces:</w:t>
      </w:r>
      <w:r>
        <w:t xml:space="preserve"> </w:t>
      </w:r>
      <w:r>
        <w:t xml:space="preserve">$185,000 (47% of total revenue) – Maintained strong demand among cost-conscious families</w:t>
      </w:r>
    </w:p>
    <w:p>
      <w:pPr>
        <w:numPr>
          <w:ilvl w:val="0"/>
          <w:numId w:val="1001"/>
        </w:numPr>
        <w:pStyle w:val="Compact"/>
      </w:pPr>
      <w:r>
        <w:rPr>
          <w:bCs/>
          <w:b/>
        </w:rPr>
        <w:t xml:space="preserve">Ceramic &amp; Clear Aligners:</w:t>
      </w:r>
      <w:r>
        <w:t xml:space="preserve"> </w:t>
      </w:r>
      <w:r>
        <w:t xml:space="preserve">$162,500 (42% of total revenue) – Highest growth segment (+29% YoY), driven by professional patient demographics</w:t>
      </w:r>
    </w:p>
    <w:p>
      <w:pPr>
        <w:numPr>
          <w:ilvl w:val="0"/>
          <w:numId w:val="1001"/>
        </w:numPr>
        <w:pStyle w:val="Compact"/>
      </w:pPr>
      <w:r>
        <w:rPr>
          <w:bCs/>
          <w:b/>
        </w:rPr>
        <w:t xml:space="preserve">Retainers &amp; Aftercare:</w:t>
      </w:r>
      <w:r>
        <w:t xml:space="preserve"> </w:t>
      </w:r>
      <w:r>
        <w:t xml:space="preserve">$37,500 (11% of total revenue) – Consistent subscription-based income stream</w:t>
      </w:r>
    </w:p>
    <w:bookmarkEnd w:id="23"/>
    <w:bookmarkStart w:id="24" w:name="patient-acquisition-metrics"/>
    <w:p>
      <w:pPr>
        <w:pStyle w:val="Heading3"/>
      </w:pPr>
      <w:r>
        <w:t xml:space="preserve">Patient Acquisition Metrics</w:t>
      </w:r>
    </w:p>
    <w:p>
      <w:pPr>
        <w:pStyle w:val="FirstParagraph"/>
      </w:pPr>
      <w:r>
        <w:t xml:space="preserve">Acquisition Channel</w:t>
      </w:r>
    </w:p>
    <w:p>
      <w:pPr>
        <w:pStyle w:val="BodyText"/>
      </w:pPr>
      <w:r>
        <w:t xml:space="preserve">Patients Acquired (Q3)</w:t>
      </w:r>
    </w:p>
    <w:p>
      <w:pPr>
        <w:pStyle w:val="BodyText"/>
      </w:pPr>
      <w:r>
        <w:t xml:space="preserve">Conversion Rate</w:t>
      </w:r>
    </w:p>
    <w:p>
      <w:pPr>
        <w:pStyle w:val="BodyText"/>
      </w:pPr>
      <w:r>
        <w:t xml:space="preserve">Cost Per Acquisition (Rp)</w:t>
      </w:r>
    </w:p>
    <w:p>
      <w:pPr>
        <w:pStyle w:val="BodyText"/>
      </w:pPr>
      <w:r>
        <w:t xml:space="preserve">Social Media Marketing (Instagram/Facebook)</w:t>
      </w:r>
    </w:p>
    <w:p>
      <w:pPr>
        <w:pStyle w:val="BodyText"/>
      </w:pPr>
      <w:r>
        <w:t xml:space="preserve">187</w:t>
      </w:r>
    </w:p>
    <w:p>
      <w:pPr>
        <w:pStyle w:val="BodyText"/>
      </w:pPr>
      <w:r>
        <w:t xml:space="preserve">62%</w:t>
      </w:r>
    </w:p>
    <w:p>
      <w:pPr>
        <w:pStyle w:val="BodyText"/>
      </w:pPr>
      <w:r>
        <w:t xml:space="preserve">IDR 350,000</w:t>
      </w:r>
    </w:p>
    <w:p>
      <w:pPr>
        <w:pStyle w:val="BodyText"/>
      </w:pPr>
      <w:r>
        <w:t xml:space="preserve">Referral Programs (Existing Patients)</w:t>
      </w:r>
    </w:p>
    <w:p>
      <w:pPr>
        <w:pStyle w:val="BodyText"/>
      </w:pPr>
      <w:r>
        <w:t xml:space="preserve">142</w:t>
      </w:r>
    </w:p>
    <w:p>
      <w:pPr>
        <w:pStyle w:val="BodyText"/>
      </w:pPr>
      <w:r>
        <w:t xml:space="preserve">78%</w:t>
      </w:r>
    </w:p>
    <w:p>
      <w:pPr>
        <w:pStyle w:val="BodyText"/>
      </w:pPr>
      <w:r>
        <w:br/>
      </w:r>
    </w:p>
    <w:p>
      <w:pPr>
        <w:pStyle w:val="BodyText"/>
      </w:pPr>
      <w:r>
        <w:t xml:space="preserve">Dental Clinics Partnership Program</w:t>
      </w:r>
    </w:p>
    <w:p>
      <w:pPr>
        <w:pStyle w:val="BodyText"/>
      </w:pPr>
      <w:r>
        <w:t xml:space="preserve">98</w:t>
      </w:r>
    </w:p>
    <w:p>
      <w:pPr>
        <w:pStyle w:val="BodyText"/>
      </w:pPr>
      <w:r>
        <w:t xml:space="preserve">54%</w:t>
      </w:r>
    </w:p>
    <w:p>
      <w:pPr>
        <w:pStyle w:val="BodyText"/>
      </w:pPr>
      <w:r>
        <w:t xml:space="preserve">IDR 620,000</w:t>
      </w:r>
    </w:p>
    <w:p>
      <w:pPr>
        <w:pStyle w:val="BodyText"/>
      </w:pPr>
      <w:r>
        <w:t xml:space="preserve">Notably, social media campaigns targeting Jakarta's professional women (25-38 years) generated the highest quality leads. Our Orthodontist team implemented localized content addressing cultural concerns about "white teeth" aesthetics in Indonesian social contexts, directly contributing to the exceptional conversion rate.</w:t>
      </w:r>
    </w:p>
    <w:bookmarkEnd w:id="24"/>
    <w:bookmarkEnd w:id="25"/>
    <w:bookmarkStart w:id="26" w:name="X15f683ae16cc1215b3bf0726abb86e9f7fa531b"/>
    <w:p>
      <w:pPr>
        <w:pStyle w:val="Heading2"/>
      </w:pPr>
      <w:r>
        <w:t xml:space="preserve">Key Challenges in Jakarta's Orthodontic Market</w:t>
      </w:r>
    </w:p>
    <w:p>
      <w:pPr>
        <w:pStyle w:val="FirstParagraph"/>
      </w:pPr>
      <w:r>
        <w:t xml:space="preserve">Despite strong growth, our Orthodontist practice faces specific challenges unique to Indonesia Jakarta:</w:t>
      </w:r>
    </w:p>
    <w:p>
      <w:pPr>
        <w:numPr>
          <w:ilvl w:val="0"/>
          <w:numId w:val="1002"/>
        </w:numPr>
        <w:pStyle w:val="Compact"/>
      </w:pPr>
      <w:r>
        <w:rPr>
          <w:bCs/>
          <w:b/>
        </w:rPr>
        <w:t xml:space="preserve">Economic Sensitivity:</w:t>
      </w:r>
      <w:r>
        <w:t xml:space="preserve"> </w:t>
      </w:r>
      <w:r>
        <w:t xml:space="preserve">Inflation (7.1% in Q3) has made premium orthodontic treatment a perceived luxury for many families, requiring flexible payment plans.</w:t>
      </w:r>
    </w:p>
    <w:p>
      <w:pPr>
        <w:numPr>
          <w:ilvl w:val="0"/>
          <w:numId w:val="1002"/>
        </w:numPr>
        <w:pStyle w:val="Compact"/>
      </w:pPr>
      <w:r>
        <w:rPr>
          <w:bCs/>
          <w:b/>
        </w:rPr>
        <w:t xml:space="preserve">Competition Intensity:</w:t>
      </w:r>
      <w:r>
        <w:t xml:space="preserve"> </w:t>
      </w:r>
      <w:r>
        <w:t xml:space="preserve">New orthodontic clinics opened 15+ new locations in Jakarta this year, primarily offering discounted metal braces that pressure our pricing strategy.</w:t>
      </w:r>
    </w:p>
    <w:p>
      <w:pPr>
        <w:numPr>
          <w:ilvl w:val="0"/>
          <w:numId w:val="1002"/>
        </w:numPr>
        <w:pStyle w:val="Compact"/>
      </w:pPr>
      <w:r>
        <w:rPr>
          <w:bCs/>
          <w:b/>
        </w:rPr>
        <w:t xml:space="preserve">Cultural Perception:</w:t>
      </w:r>
      <w:r>
        <w:t xml:space="preserve"> </w:t>
      </w:r>
      <w:r>
        <w:t xml:space="preserve">Persistent misconception that orthodontics is only for children necessitates ongoing patient education efforts across all marketing channels.</w:t>
      </w:r>
    </w:p>
    <w:bookmarkEnd w:id="26"/>
    <w:bookmarkStart w:id="27" w:name="strategic-opportunities-for-growth"/>
    <w:p>
      <w:pPr>
        <w:pStyle w:val="Heading2"/>
      </w:pPr>
      <w:r>
        <w:t xml:space="preserve">Strategic Opportunities for Growth</w:t>
      </w:r>
    </w:p>
    <w:p>
      <w:pPr>
        <w:pStyle w:val="FirstParagraph"/>
      </w:pPr>
      <w:r>
        <w:t xml:space="preserve">Our analysis identifies three high-potential growth vectors within the Indonesia Jakarta orthodontic market:</w:t>
      </w:r>
    </w:p>
    <w:p>
      <w:pPr>
        <w:numPr>
          <w:ilvl w:val="0"/>
          <w:numId w:val="1003"/>
        </w:numPr>
        <w:pStyle w:val="Compact"/>
      </w:pPr>
      <w:r>
        <w:rPr>
          <w:bCs/>
          <w:b/>
        </w:rPr>
        <w:t xml:space="preserve">Corporate Wellness Partnerships:</w:t>
      </w:r>
      <w:r>
        <w:t xml:space="preserve"> </w:t>
      </w:r>
      <w:r>
        <w:t xml:space="preserve">Negotiating contracts with major Jakarta-based multinational corporations for employee orthodontic benefits has potential to generate 50+ new patients quarterly.</w:t>
      </w:r>
    </w:p>
    <w:p>
      <w:pPr>
        <w:numPr>
          <w:ilvl w:val="0"/>
          <w:numId w:val="1003"/>
        </w:numPr>
        <w:pStyle w:val="Compact"/>
      </w:pPr>
      <w:r>
        <w:rPr>
          <w:bCs/>
          <w:b/>
        </w:rPr>
        <w:t xml:space="preserve">Digital Transformation:</w:t>
      </w:r>
      <w:r>
        <w:t xml:space="preserve"> </w:t>
      </w:r>
      <w:r>
        <w:t xml:space="preserve">Implementing our mobile app for virtual consultations (tested successfully in 200 pilot users) reduces no-show rates by 37% and increases patient satisfaction scores by 28 points.</w:t>
      </w:r>
    </w:p>
    <w:p>
      <w:pPr>
        <w:numPr>
          <w:ilvl w:val="0"/>
          <w:numId w:val="1003"/>
        </w:numPr>
        <w:pStyle w:val="Compact"/>
      </w:pPr>
      <w:r>
        <w:rPr>
          <w:bCs/>
          <w:b/>
        </w:rPr>
        <w:t xml:space="preserve">Family Packages:</w:t>
      </w:r>
      <w:r>
        <w:t xml:space="preserve"> </w:t>
      </w:r>
      <w:r>
        <w:t xml:space="preserve">Bundling treatment for multiple family members at discounted rates – a strategy resonating strongly with Jakarta's close-knit extended family culture.</w:t>
      </w:r>
    </w:p>
    <w:bookmarkEnd w:id="27"/>
    <w:bookmarkStart w:id="28" w:name="Xf69b04e8259adcd84e143470004913b059b99ef"/>
    <w:p>
      <w:pPr>
        <w:pStyle w:val="Heading2"/>
      </w:pPr>
      <w:r>
        <w:t xml:space="preserve">Recommendations for Orthodontist Practice</w:t>
      </w:r>
    </w:p>
    <w:p>
      <w:pPr>
        <w:pStyle w:val="FirstParagraph"/>
      </w:pPr>
      <w:r>
        <w:t xml:space="preserve">Based on this Sales Report analysis, we recommend the following actions to capitalize on Jakarta's orthodontic market potential:</w:t>
      </w:r>
    </w:p>
    <w:p>
      <w:pPr>
        <w:numPr>
          <w:ilvl w:val="0"/>
          <w:numId w:val="1004"/>
        </w:numPr>
        <w:pStyle w:val="Compact"/>
      </w:pPr>
      <w:r>
        <w:rPr>
          <w:bCs/>
          <w:b/>
        </w:rPr>
        <w:t xml:space="preserve">Expand Payment Solutions:</w:t>
      </w:r>
      <w:r>
        <w:t xml:space="preserve"> </w:t>
      </w:r>
      <w:r>
        <w:t xml:space="preserve">Partner with Indonesian fintech companies (e.g., Akulaku, Dana) to offer 0% interest installment plans for clear aligner treatments – directly addressing the affordability challenge.</w:t>
      </w:r>
    </w:p>
    <w:p>
      <w:pPr>
        <w:numPr>
          <w:ilvl w:val="0"/>
          <w:numId w:val="1004"/>
        </w:numPr>
        <w:pStyle w:val="Compact"/>
      </w:pPr>
      <w:r>
        <w:rPr>
          <w:bCs/>
          <w:b/>
        </w:rPr>
        <w:t xml:space="preserve">Launch Community Education Program:</w:t>
      </w:r>
      <w:r>
        <w:t xml:space="preserve"> </w:t>
      </w:r>
      <w:r>
        <w:t xml:space="preserve">Host monthly "Smile Seminars" at Jakarta public libraries targeting parents of adolescents, featuring our Orthodontist explaining treatment benefits in Bahasa Indonesia with local case studies.</w:t>
      </w:r>
    </w:p>
    <w:p>
      <w:pPr>
        <w:numPr>
          <w:ilvl w:val="0"/>
          <w:numId w:val="1004"/>
        </w:numPr>
        <w:pStyle w:val="Compact"/>
      </w:pPr>
      <w:r>
        <w:rPr>
          <w:bCs/>
          <w:b/>
        </w:rPr>
        <w:t xml:space="preserve">Develop Premium Package:</w:t>
      </w:r>
      <w:r>
        <w:t xml:space="preserve"> </w:t>
      </w:r>
      <w:r>
        <w:t xml:space="preserve">Create a "Jakarta Elite Orthodontic Package" including weekly check-ups, premium ceramic brackets, and exclusive access to our dental app – priced at 20% above market to target high-income professionals.</w:t>
      </w:r>
    </w:p>
    <w:bookmarkEnd w:id="28"/>
    <w:bookmarkStart w:id="29" w:name="conclusion"/>
    <w:p>
      <w:pPr>
        <w:pStyle w:val="Heading2"/>
      </w:pPr>
      <w:r>
        <w:t xml:space="preserve">Conclusion</w:t>
      </w:r>
    </w:p>
    <w:p>
      <w:pPr>
        <w:pStyle w:val="FirstParagraph"/>
      </w:pPr>
      <w:r>
        <w:t xml:space="preserve">The orthodontic sector in Indonesia Jakarta presents exceptional growth potential for practices that understand local market dynamics. This Sales Report confirms our position as a leading Orthodontist provider with strong revenue streams and innovative patient acquisition strategies. By implementing these recommendations, we project a minimum 25% increase in orthodontic service revenue by Q2 2024 while deepening our community presence across Jakarta's diverse neighborhoods. As the premier Orthodontist practice in Indonesia Jakarta, we will continue to lead the market through culturally intelligent care and data-driven sales strategies that transform smiles across the nation's capital.</w:t>
      </w:r>
    </w:p>
    <w:p>
      <w:pPr>
        <w:pStyle w:val="BodyText"/>
      </w:pPr>
      <w:r>
        <w:t xml:space="preserve">Prepared by Sales Intelligence Department | Orthodontist Practice Management | Jakarta, Indonesia</w:t>
      </w:r>
    </w:p>
    <w:p>
      <w:pPr>
        <w:pStyle w:val="BodyText"/>
      </w:pPr>
      <w:r>
        <w:t xml:space="preserve">This report contains proprietary sales data for internal use only. All figures represent Q3 2023 performance metrics within Indonesia Jakarta metropolitan area.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Indonesia Jakarta Market Analysis</dc:title>
  <dc:creator/>
  <dc:language>en</dc:language>
  <cp:keywords/>
  <dcterms:created xsi:type="dcterms:W3CDTF">2025-12-13T09:48:49Z</dcterms:created>
  <dcterms:modified xsi:type="dcterms:W3CDTF">2025-12-13T09:48:49Z</dcterms:modified>
</cp:coreProperties>
</file>

<file path=docProps/custom.xml><?xml version="1.0" encoding="utf-8"?>
<Properties xmlns="http://schemas.openxmlformats.org/officeDocument/2006/custom-properties" xmlns:vt="http://schemas.openxmlformats.org/officeDocument/2006/docPropsVTypes"/>
</file>