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Baghdad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0a7c956e1d8a918a176256930b9f447fe69be8b"/>
    <w:p>
      <w:pPr>
        <w:pStyle w:val="Heading1"/>
      </w:pPr>
      <w:r>
        <w:t xml:space="preserve">Comprehensive Sales Report: Orthodontic Services Market in Iraq Baghdad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orthodontic service performance across the Baghdad market, covering Q1-Q3 2023. As the capital city of Iraq with over 7 million residents, Baghdad represents a critical growth frontier for dental healthcare innovation. Our orthodontist practice has achieved a 24% year-over-year revenue increase, demonstrating strong market penetration in this emerging economy. This document examines key sales drivers, patient demographics, and strategic opportunities specific to the unique socio-economic landscape of Iraq Baghdad.</w:t>
      </w:r>
    </w:p>
    <w:bookmarkEnd w:id="20"/>
    <w:bookmarkStart w:id="21" w:name="X1e1027c01d920b152a25cdaa3e9cb078cce5dac"/>
    <w:p>
      <w:pPr>
        <w:pStyle w:val="Heading2"/>
      </w:pPr>
      <w:r>
        <w:t xml:space="preserve">Market Context: Orthodontics in Iraq Baghdad</w:t>
      </w:r>
    </w:p>
    <w:p>
      <w:pPr>
        <w:pStyle w:val="FirstParagraph"/>
      </w:pPr>
      <w:r>
        <w:t xml:space="preserve">The orthodontic sector in Baghdad has evolved significantly since 2018, transitioning from basic dental care to specialized cosmetic dentistry. With rising disposable incomes and growing middle-class populations (est. 45% of Baghdad's demographic), demand for aesthetic dental solutions has surged by 37% annually. Our Sales Report confirms that orthodontic services now represent the fastest-growing segment in private dental care across Iraq, driven by increased awareness through social media campaigns and improved healthcare infrastructure post-2020.</w:t>
      </w:r>
    </w:p>
    <w:bookmarkEnd w:id="21"/>
    <w:bookmarkStart w:id="22" w:name="q1-q3-2023-sales-performance"/>
    <w:p>
      <w:pPr>
        <w:pStyle w:val="Heading2"/>
      </w:pPr>
      <w:r>
        <w:t xml:space="preserve">Q1-Q3 2023 Sales Performance</w:t>
      </w:r>
    </w:p>
    <w:p>
      <w:pPr>
        <w:pStyle w:val="FirstParagraph"/>
      </w:pPr>
      <w:r>
        <w:t xml:space="preserve">Our Baghdad orthodontist practice recorded $417,500 in total service revenue during the first nine months of 2023, exceeding projections by 18%. Key performance indicators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Brace Treatments:</w:t>
      </w:r>
      <w:r>
        <w:t xml:space="preserve"> </w:t>
      </w:r>
      <w:r>
        <w:t xml:space="preserve">68% of total sales ($283,900), with clear aligners (Invisalign) growing at 52% YoY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Orthodontics:</w:t>
      </w:r>
      <w:r>
        <w:t xml:space="preserve"> </w:t>
      </w:r>
      <w:r>
        <w:t xml:space="preserve">31% market share ($129,425), reflecting strong parental investment in children's dental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Retention &amp; Maintenance:</w:t>
      </w:r>
      <w:r>
        <w:t xml:space="preserve"> </w:t>
      </w:r>
      <w:r>
        <w:t xml:space="preserve">21% repeat customer rate, indicating high patient satisfaction</w:t>
      </w:r>
    </w:p>
    <w:p>
      <w:pPr>
        <w:pStyle w:val="FirstParagraph"/>
      </w:pPr>
      <w:r>
        <w:t xml:space="preserve">The most significant growth driver was our 'Youth Smile Initiative' targeting students aged 10-18, which generated 43% of new patient acquisitions in Q3. This program's success underscores Baghdad parents' willingness to invest in early orthodontic care – a trend less common in neighboring regions.</w:t>
      </w:r>
    </w:p>
    <w:bookmarkEnd w:id="22"/>
    <w:bookmarkStart w:id="23" w:name="customer-demographics-behavior"/>
    <w:p>
      <w:pPr>
        <w:pStyle w:val="Heading2"/>
      </w:pPr>
      <w:r>
        <w:t xml:space="preserve">Customer Demographics &amp; Behavior</w:t>
      </w:r>
    </w:p>
    <w:p>
      <w:pPr>
        <w:pStyle w:val="FirstParagraph"/>
      </w:pPr>
      <w:r>
        <w:t xml:space="preserve">Data from our Baghdad sales database reveals distinct patterns:</w:t>
      </w:r>
    </w:p>
    <w:p>
      <w:pPr>
        <w:pStyle w:val="BodyText"/>
      </w:pPr>
      <w:r>
        <w:t xml:space="preserve">Segment</w:t>
      </w:r>
    </w:p>
    <w:p>
      <w:pPr>
        <w:pStyle w:val="BodyText"/>
      </w:pPr>
      <w:r>
        <w:t xml:space="preserve">Market Share</w:t>
      </w:r>
    </w:p>
    <w:p>
      <w:pPr>
        <w:pStyle w:val="BodyText"/>
      </w:pPr>
      <w:r>
        <w:t xml:space="preserve">Purchase Frequency</w:t>
      </w:r>
    </w:p>
    <w:p>
      <w:pPr>
        <w:pStyle w:val="BodyText"/>
      </w:pPr>
      <w:r>
        <w:t xml:space="preserve">Price Sensitivity</w:t>
      </w:r>
    </w:p>
    <w:p>
      <w:pPr>
        <w:pStyle w:val="BodyText"/>
      </w:pPr>
      <w:r>
        <w:t xml:space="preserve">Urban Middle Class (25-45 yrs)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1.8 treatments/year</w:t>
      </w:r>
    </w:p>
    <w:p>
      <w:pPr>
        <w:pStyle w:val="BodyText"/>
      </w:pPr>
      <w:r>
        <w:t xml:space="preserve">Moderate (prioritize quality over lowest cost)</w:t>
      </w:r>
    </w:p>
    <w:p>
      <w:pPr>
        <w:pStyle w:val="BodyText"/>
      </w:pPr>
      <w:r>
        <w:t xml:space="preserve">School/University Students</w:t>
      </w:r>
    </w:p>
    <w:p>
      <w:pPr>
        <w:pStyle w:val="BodyText"/>
      </w:pPr>
      <w:r>
        <w:t xml:space="preserve">27%</w:t>
      </w:r>
    </w:p>
    <w:p>
      <w:pPr>
        <w:pStyle w:val="BodyText"/>
      </w:pPr>
      <w:r>
        <w:t xml:space="preserve">0.9 treatments/year</w:t>
      </w:r>
    </w:p>
    <w:p>
      <w:pPr>
        <w:pStyle w:val="BodyText"/>
      </w:pPr>
      <w:r>
        <w:t xml:space="preserve">High (seek payment plans)</w:t>
      </w:r>
    </w:p>
    <w:p>
      <w:pPr>
        <w:pStyle w:val="BodyText"/>
      </w:pPr>
      <w:r>
        <w:t xml:space="preserve">High-Net-Worth Families</w:t>
      </w:r>
    </w:p>
    <w:p>
      <w:pPr>
        <w:pStyle w:val="BodyText"/>
      </w:pPr>
      <w:r>
        <w:t xml:space="preserve">11%</w:t>
      </w:r>
    </w:p>
    <w:p>
      <w:pPr>
        <w:pStyle w:val="BodyText"/>
      </w:pPr>
      <w:r>
        <w:t xml:space="preserve">2.3 treatments/year</w:t>
      </w:r>
    </w:p>
    <w:p>
      <w:pPr>
        <w:pStyle w:val="BodyText"/>
      </w:pPr>
      <w:r>
        <w:t xml:space="preserve">Moderate (value premium services)</w:t>
      </w:r>
    </w:p>
    <w:p>
      <w:pPr>
        <w:pStyle w:val="BodyText"/>
      </w:pPr>
      <w:r>
        <w:t xml:space="preserve">Critically, Baghdad patients demonstrate higher engagement with digital consultations – 76% of new patients initiated contact via WhatsApp or Instagram versus traditional phone calls. This behavioral shift has reduced acquisition costs by 31% and accelerated appointment scheduling during Ramadan 2023.</w:t>
      </w:r>
    </w:p>
    <w:bookmarkEnd w:id="23"/>
    <w:bookmarkStart w:id="24" w:name="challenges-in-iraq-baghdad-market"/>
    <w:p>
      <w:pPr>
        <w:pStyle w:val="Heading2"/>
      </w:pPr>
      <w:r>
        <w:t xml:space="preserve">Challenges in Iraq Baghdad Market</w:t>
      </w:r>
    </w:p>
    <w:p>
      <w:pPr>
        <w:pStyle w:val="FirstParagraph"/>
      </w:pPr>
      <w:r>
        <w:t xml:space="preserve">Despite strong growth, our Sales Report identifies three key challenges requiring strategic adaptation: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Vulnerabilities:</w:t>
      </w:r>
      <w:r>
        <w:t xml:space="preserve"> </w:t>
      </w:r>
      <w:r>
        <w:t xml:space="preserve">Import restrictions on orthodontic materials (especially clear aligner trays) caused 14% service delays in Q2. We've mitigated this by partnering with regional distributors in Dubai.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Inflation rates (13.7% YoY) have made patients more price-conscious, particularly for cosmetic treatments. Our solution: introduced tiered payment plans with 0% interest over 12 months, increasing affordability by 58%.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Perceptions:</w:t>
      </w:r>
      <w:r>
        <w:t xml:space="preserve"> </w:t>
      </w:r>
      <w:r>
        <w:t xml:space="preserve">Initial resistance to visible braces among young women required tailored marketing. We now collaborate with local influencers showcasing 'Baghdad Beauty Standards' campaigns that normalize orthodontic care as part of self-care rituals.</w:t>
      </w:r>
    </w:p>
    <w:bookmarkEnd w:id="24"/>
    <w:bookmarkStart w:id="28" w:name="X88324b4004369f38567a1645321e9a0f58a3419"/>
    <w:p>
      <w:pPr>
        <w:pStyle w:val="Heading2"/>
      </w:pPr>
      <w:r>
        <w:t xml:space="preserve">Growth Strategy: Targeting Baghdad's Untapped Potential</w:t>
      </w:r>
    </w:p>
    <w:p>
      <w:pPr>
        <w:pStyle w:val="FirstParagraph"/>
      </w:pPr>
      <w:r>
        <w:t xml:space="preserve">Based on this Sales Report analysis, our 2024 strategy focuses on three pillars:</w:t>
      </w:r>
    </w:p>
    <w:bookmarkStart w:id="25" w:name="digital-expansion"/>
    <w:p>
      <w:pPr>
        <w:pStyle w:val="Heading3"/>
      </w:pPr>
      <w:r>
        <w:t xml:space="preserve">1. Digital Expansion</w:t>
      </w:r>
    </w:p>
    <w:p>
      <w:pPr>
        <w:pStyle w:val="FirstParagraph"/>
      </w:pPr>
      <w:r>
        <w:t xml:space="preserve">Launching a dedicated Arabic-language orthodontic app with virtual smile simulations targeting Baghdad's 85% smartphone penetration rate. This addresses the critical need for pre-consultation education in a market where dental literacy is still developing.</w:t>
      </w:r>
    </w:p>
    <w:bookmarkEnd w:id="25"/>
    <w:bookmarkStart w:id="26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Partnering with 15 local schools across Baghdad to provide free orthodontic screenings, directly addressing pediatric care gaps. Initial pilot programs in Al-Mansour and Karkh districts increased referral traffic by 47%.</w:t>
      </w:r>
    </w:p>
    <w:bookmarkEnd w:id="26"/>
    <w:bookmarkStart w:id="27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Introducing 'Baghdad Heritage Braces' – orthodontic accessories featuring Iraqi cultural motifs (e.g., ancient Babylonian patterns on brackets). This resonates with national pride while commanding 22% price premiums.</w:t>
      </w:r>
    </w:p>
    <w:bookmarkEnd w:id="27"/>
    <w:bookmarkEnd w:id="28"/>
    <w:bookmarkStart w:id="29" w:name="financial-outlook-recommendations"/>
    <w:p>
      <w:pPr>
        <w:pStyle w:val="Heading2"/>
      </w:pPr>
      <w:r>
        <w:t xml:space="preserve">Financial Outlook &amp; Recommendations</w:t>
      </w:r>
    </w:p>
    <w:p>
      <w:pPr>
        <w:pStyle w:val="FirstParagraph"/>
      </w:pPr>
      <w:r>
        <w:t xml:space="preserve">The orthodontist practice in Iraq Baghdad is positioned for sustained growth, with projected revenue of $680,000 by Q4 2023.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Accelerate Local Sourcing:</w:t>
      </w:r>
      <w:r>
        <w:t xml:space="preserve"> </w:t>
      </w:r>
      <w:r>
        <w:t xml:space="preserve">Establishing a Baghdad-based assembly facility for non-critical orthodontic components to reduce import dependency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Scholarship Program Expansion:</w:t>
      </w:r>
      <w:r>
        <w:t xml:space="preserve"> </w:t>
      </w:r>
      <w:r>
        <w:t xml:space="preserve">Allocating 5% of Q4 revenue to subsidize braces for underprivileged youth in Kadhimiya and Sadr City districts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Competitor Analysis Investment:</w:t>
      </w:r>
      <w:r>
        <w:t xml:space="preserve"> </w:t>
      </w:r>
      <w:r>
        <w:t xml:space="preserve">Dedicated market research team to monitor pricing strategies from emerging clinics in New Baghdad</w:t>
      </w:r>
    </w:p>
    <w:bookmarkEnd w:id="29"/>
    <w:bookmarkStart w:id="30" w:name="X536a5c9eee5ec7ffe6c284976f6a64731691729"/>
    <w:p>
      <w:pPr>
        <w:pStyle w:val="Heading2"/>
      </w:pPr>
      <w:r>
        <w:t xml:space="preserve">Conclusion: Orthodontics as a Catalyst for Health Equity</w:t>
      </w:r>
    </w:p>
    <w:p>
      <w:pPr>
        <w:pStyle w:val="FirstParagraph"/>
      </w:pPr>
      <w:r>
        <w:t xml:space="preserve">This Sales Report confirms that orthodontic care is transitioning from a luxury to a mainstream necessity in Baghdad. The success of our practice demonstrates that culturally attuned, economically accessible dental solutions can thrive even in complex markets. By focusing on Baghdad's unique social dynamics – where family health investment is deeply valued and digital adoption is accelerating – orthodontist practices can achieve both commercial success and meaningful community impact. As the healthcare ecosystem matures in Iraq Baghdad, we project the orthodontic sector to grow at 28% CAGR through 2026, creating opportunities for further innovation in patient experience and service delivery.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Baghdad Dental Analytics Group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17,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Sales Report: Baghdad Market Analysis</dc:title>
  <dc:creator/>
  <dc:language>en</dc:language>
  <cp:keywords/>
  <dcterms:created xsi:type="dcterms:W3CDTF">2025-12-13T09:17:11Z</dcterms:created>
  <dcterms:modified xsi:type="dcterms:W3CDTF">2025-12-13T09:17:11Z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