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Jerusalem,</w:t>
      </w:r>
      <w:r>
        <w:t xml:space="preserve"> </w:t>
      </w:r>
      <w:r>
        <w:t xml:space="preserve">Israel</w:t>
      </w:r>
    </w:p>
    <w:bookmarkStart w:id="27" w:name="X99c334b808254d77b5401ea285ee70b2f13806d"/>
    <w:p>
      <w:pPr>
        <w:pStyle w:val="Heading1"/>
      </w:pPr>
      <w:r>
        <w:t xml:space="preserve">Comprehensive Sales Report: Orthodontic Practice Performance in Jerusalem,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Israeli Dental Association (IDA)</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operational and financial performance of our premier orthodontic practice in Jerusalem, Israel during Q3 2023. Operating within the culturally rich and medically advanced healthcare landscape of Israel Jerusalem, we achieved a remarkable 18% year-over-year growth in patient acquisition while maintaining exceptional clinical outcomes. The report underscores how strategic localization of services to meet the specific needs of Jerusalem's diverse population—spanning ultra-Orthodox Jewish communities, Arab families, international residents, and Israeli military personnel—has driven our sales success. As the leading orthodontist practice in Israel Jerusalem, we are setting new benchmarks for patient satisfaction and revenue growth in the region.</w:t>
      </w:r>
    </w:p>
    <w:bookmarkEnd w:id="20"/>
    <w:bookmarkStart w:id="21" w:name="ii.-sales-performance-metrics"/>
    <w:p>
      <w:pPr>
        <w:pStyle w:val="Heading2"/>
      </w:pPr>
      <w:r>
        <w:t xml:space="preserve">II.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Patient Registrations</w:t>
            </w:r>
          </w:p>
        </w:tc>
        <w:tc>
          <w:tcPr/>
          <w:p>
            <w:pPr>
              <w:pStyle w:val="Compact"/>
              <w:jc w:val="left"/>
            </w:pPr>
            <w:r>
              <w:t xml:space="preserve">147 patients</w:t>
            </w:r>
          </w:p>
        </w:tc>
        <w:tc>
          <w:tcPr/>
          <w:p>
            <w:pPr>
              <w:pStyle w:val="Compact"/>
              <w:jc w:val="left"/>
            </w:pPr>
            <w:r>
              <w:t xml:space="preserve">125 patients</w:t>
            </w:r>
          </w:p>
        </w:tc>
        <w:tc>
          <w:tcPr/>
          <w:p>
            <w:pPr>
              <w:pStyle w:val="Compact"/>
              <w:jc w:val="left"/>
            </w:pPr>
            <w:r>
              <w:t xml:space="preserve">+17.6%</w:t>
            </w:r>
          </w:p>
        </w:tc>
      </w:tr>
      <w:tr>
        <w:tc>
          <w:tcPr/>
          <w:p>
            <w:pPr>
              <w:pStyle w:val="Compact"/>
              <w:jc w:val="left"/>
            </w:pPr>
            <w:r>
              <w:t xml:space="preserve">Treatment Starts (Braces/Clear Aligners)</w:t>
            </w:r>
          </w:p>
        </w:tc>
        <w:tc>
          <w:tcPr/>
          <w:p>
            <w:pPr>
              <w:pStyle w:val="Compact"/>
              <w:jc w:val="left"/>
            </w:pPr>
            <w:r>
              <w:t xml:space="preserve">98 cases</w:t>
            </w:r>
          </w:p>
        </w:tc>
        <w:tc>
          <w:tcPr/>
          <w:p>
            <w:pPr>
              <w:pStyle w:val="Compact"/>
              <w:jc w:val="left"/>
            </w:pPr>
            <w:r>
              <w:t xml:space="preserve">82 cases</w:t>
            </w:r>
          </w:p>
        </w:tc>
        <w:tc>
          <w:tcPr/>
          <w:p>
            <w:pPr>
              <w:pStyle w:val="Compact"/>
              <w:jc w:val="left"/>
            </w:pPr>
            <w:r>
              <w:t xml:space="preserve">+19.5%</w:t>
            </w:r>
          </w:p>
        </w:tc>
      </w:tr>
      <w:tr>
        <w:tc>
          <w:tcPr/>
          <w:p>
            <w:pPr>
              <w:pStyle w:val="Compact"/>
              <w:jc w:val="left"/>
            </w:pPr>
            <w:r>
              <w:t xml:space="preserve">Average Revenue per Patient (ARP)</w:t>
            </w:r>
          </w:p>
        </w:tc>
        <w:tc>
          <w:tcPr/>
          <w:p>
            <w:pPr>
              <w:pStyle w:val="Compact"/>
              <w:jc w:val="left"/>
            </w:pPr>
            <w:r>
              <w:t xml:space="preserve">₪12,450</w:t>
            </w:r>
          </w:p>
        </w:tc>
        <w:tc>
          <w:tcPr/>
          <w:p>
            <w:pPr>
              <w:pStyle w:val="Compact"/>
              <w:jc w:val="left"/>
            </w:pPr>
            <w:r>
              <w:t xml:space="preserve">₪11,700</w:t>
            </w:r>
          </w:p>
        </w:tc>
        <w:tc>
          <w:tcPr/>
          <w:p>
            <w:pPr>
              <w:pStyle w:val="Compact"/>
              <w:jc w:val="left"/>
            </w:pPr>
            <w:r>
              <w:t xml:space="preserve">+6.4%</w:t>
            </w:r>
          </w:p>
        </w:tc>
      </w:tr>
      <w:tr>
        <w:tc>
          <w:tcPr/>
          <w:p>
            <w:pPr>
              <w:pStyle w:val="Compact"/>
              <w:jc w:val="left"/>
            </w:pPr>
            <w:r>
              <w:t xml:space="preserve">Patient Retention Rate</w:t>
            </w:r>
          </w:p>
        </w:tc>
        <w:tc>
          <w:tcPr/>
          <w:p>
            <w:pPr>
              <w:pStyle w:val="Compact"/>
              <w:jc w:val="left"/>
            </w:pPr>
            <w:r>
              <w:t xml:space="preserve">89%</w:t>
            </w:r>
          </w:p>
        </w:tc>
        <w:tc>
          <w:tcPr/>
          <w:p>
            <w:pPr>
              <w:pStyle w:val="Compact"/>
              <w:jc w:val="left"/>
            </w:pPr>
            <w:r>
              <w:t xml:space="preserve">83%</w:t>
            </w:r>
          </w:p>
        </w:tc>
        <w:tc>
          <w:tcPr/>
          <w:p>
            <w:pPr>
              <w:pStyle w:val="Compact"/>
              <w:jc w:val="left"/>
            </w:pPr>
            <w:r>
              <w:t xml:space="preserve">+6.0%</w:t>
            </w:r>
          </w:p>
        </w:tc>
      </w:tr>
    </w:tbl>
    <w:p>
      <w:pPr>
        <w:pStyle w:val="BodyText"/>
      </w:pPr>
      <w:r>
        <w:t xml:space="preserve">The 19.5% increase in treatment starts reflects our successful adaptation to Jerusalem's unique demographic needs. Notably, 32% of new patients came from the Mea Shearim and Baka neighborhoods—areas with high concentrations of Haredi (ultra-Orthodox) families who previously had limited access to discreet orthodontic care. Our partnership with local religious leaders to address cultural sensitivities has been pivotal in overcoming historical barriers.</w:t>
      </w:r>
    </w:p>
    <w:bookmarkEnd w:id="21"/>
    <w:bookmarkStart w:id="22" w:name="X673765b4a0d5040f85d001dc58347a8a683292a"/>
    <w:p>
      <w:pPr>
        <w:pStyle w:val="Heading2"/>
      </w:pPr>
      <w:r>
        <w:t xml:space="preserve">III. Market Analysis: Israel Jerusalem Orthodontic Landscape</w:t>
      </w:r>
    </w:p>
    <w:p>
      <w:pPr>
        <w:pStyle w:val="FirstParagraph"/>
      </w:pPr>
      <w:r>
        <w:t xml:space="preserve">Jerusalem's healthcare market presents distinct opportunities for an orthodontist practice. With over 1 million residents and a growing population of international families (including diplomatic corps and tech professionals), demand for premium dental services is rising rapidly. Recent IDA data shows a 24% increase in orthodontic consultations across Israel since 2020, but Jerusalem remains underserved—only 38% of adolescents receive specialized orthodontic care compared to the national average of 45%. This gap represents a strategic opportunity we've aggressively pursued.</w:t>
      </w:r>
    </w:p>
    <w:p>
      <w:pPr>
        <w:pStyle w:val="BodyText"/>
      </w:pPr>
      <w:r>
        <w:t xml:space="preserve">Our competitive analysis reveals that while most practices in Israel Jerusalem focus on standard braces, our specialty in lingual braces and clear aligners (including Invisalign) has captured 62% of the premium segment. The introduction of Arabic/Hebrew/French multilingual staff—a first for orthodontic practices in Jerusalem—has been instrumental in converting 41% of Arab and foreign patient inquiries into treatments. This cultural adaptation directly contributes to our sales performance.</w:t>
      </w:r>
    </w:p>
    <w:bookmarkEnd w:id="22"/>
    <w:bookmarkStart w:id="23" w:name="iv.-customer-insights-patient-journey"/>
    <w:p>
      <w:pPr>
        <w:pStyle w:val="Heading2"/>
      </w:pPr>
      <w:r>
        <w:t xml:space="preserve">IV. Customer Insights &amp; Patient Journey</w:t>
      </w:r>
    </w:p>
    <w:p>
      <w:pPr>
        <w:pStyle w:val="FirstParagraph"/>
      </w:pPr>
      <w:r>
        <w:t xml:space="preserve">Patient surveys conducted across 120 clients reveal that 93% chose our Jerusalem practice due to its "cultural sensitivity" and "proximity to neighborhood centers." A standout insight from the Shuafat refugee camp outreach program (a collaboration with Jerusalem Municipality) showed that families requiring financial flexibility preferred our payment plan options. We now offer 12-month interest-free financing—a feature absent in 87% of competing orthodontist clinics in Israel Jerusalem.</w:t>
      </w:r>
    </w:p>
    <w:p>
      <w:pPr>
        <w:pStyle w:val="BodyText"/>
      </w:pPr>
      <w:r>
        <w:t xml:space="preserve">Key feedback highlights include:</w:t>
      </w:r>
    </w:p>
    <w:p>
      <w:pPr>
        <w:numPr>
          <w:ilvl w:val="0"/>
          <w:numId w:val="1001"/>
        </w:numPr>
        <w:pStyle w:val="Compact"/>
      </w:pPr>
      <w:r>
        <w:t xml:space="preserve">"The staff understood my religious requirements for headgear adjustments on Shabbat" (Haredi patient, Mea Shearim)</w:t>
      </w:r>
    </w:p>
    <w:p>
      <w:pPr>
        <w:numPr>
          <w:ilvl w:val="0"/>
          <w:numId w:val="1001"/>
        </w:numPr>
        <w:pStyle w:val="Compact"/>
      </w:pPr>
      <w:r>
        <w:t xml:space="preserve">"As an international diplomat, I needed seamless communication in English and Hebrew—this practice delivered" (American expatriate, Talpiot)</w:t>
      </w:r>
    </w:p>
    <w:bookmarkEnd w:id="23"/>
    <w:bookmarkStart w:id="24" w:name="v.-strategic-initiatives-driving-sales"/>
    <w:p>
      <w:pPr>
        <w:pStyle w:val="Heading2"/>
      </w:pPr>
      <w:r>
        <w:t xml:space="preserve">V. Strategic Initiatives Driving Sales</w:t>
      </w:r>
    </w:p>
    <w:p>
      <w:pPr>
        <w:pStyle w:val="FirstParagraph"/>
      </w:pPr>
      <w:r>
        <w:t xml:space="preserve">Three initiatives directly impacted our Q3 results:</w:t>
      </w:r>
    </w:p>
    <w:p>
      <w:pPr>
        <w:numPr>
          <w:ilvl w:val="0"/>
          <w:numId w:val="1002"/>
        </w:numPr>
        <w:pStyle w:val="Compact"/>
      </w:pPr>
      <w:r>
        <w:rPr>
          <w:bCs/>
          <w:b/>
        </w:rPr>
        <w:t xml:space="preserve">Jerusalem Community Clinics:</w:t>
      </w:r>
      <w:r>
        <w:t xml:space="preserve"> </w:t>
      </w:r>
      <w:r>
        <w:t xml:space="preserve">Monthly free screenings at 7 neighborhood centers (including the Mamilla Mall and Mahane Yehuda Market) generated 58 new patient leads. These events built trust with underserved communities where orthodontic services were previously inaccessible.</w:t>
      </w:r>
    </w:p>
    <w:p>
      <w:pPr>
        <w:numPr>
          <w:ilvl w:val="0"/>
          <w:numId w:val="1002"/>
        </w:numPr>
        <w:pStyle w:val="Compact"/>
      </w:pPr>
      <w:r>
        <w:rPr>
          <w:bCs/>
          <w:b/>
        </w:rPr>
        <w:t xml:space="preserve">Digital Integration:</w:t>
      </w:r>
      <w:r>
        <w:t xml:space="preserve"> </w:t>
      </w:r>
      <w:r>
        <w:t xml:space="preserve">Launch of our Hebrew/Arabic mobile app for appointment booking and treatment progress tracking increased digital engagement by 76%, reducing no-show rates to 8% (vs. national average of 22%).</w:t>
      </w:r>
    </w:p>
    <w:p>
      <w:pPr>
        <w:numPr>
          <w:ilvl w:val="0"/>
          <w:numId w:val="1002"/>
        </w:numPr>
        <w:pStyle w:val="Compact"/>
      </w:pPr>
      <w:r>
        <w:rPr>
          <w:bCs/>
          <w:b/>
        </w:rPr>
        <w:t xml:space="preserve">Military Partnership Program:</w:t>
      </w:r>
      <w:r>
        <w:t xml:space="preserve"> </w:t>
      </w:r>
      <w:r>
        <w:t xml:space="preserve">Exclusive dental plans with the Israel Defense Forces (IDF) headquarters in Jerusalem secured contracts for 145 active-duty personnel and families, creating a stable patient pipeline.</w:t>
      </w:r>
    </w:p>
    <w:bookmarkEnd w:id="24"/>
    <w:bookmarkStart w:id="25" w:name="vi.-challenges-solutions"/>
    <w:p>
      <w:pPr>
        <w:pStyle w:val="Heading2"/>
      </w:pPr>
      <w:r>
        <w:t xml:space="preserve">VI. Challenges &amp; Solutions</w:t>
      </w:r>
    </w:p>
    <w:p>
      <w:pPr>
        <w:pStyle w:val="FirstParagraph"/>
      </w:pPr>
      <w:r>
        <w:t xml:space="preserve">The primary challenge in Israel Jerusalem remains geographic fragmentation—patients travel across the city for care due to limited local options. To counter this, we implemented a "Jerusalem Access Guarantee":</w:t>
      </w:r>
    </w:p>
    <w:p>
      <w:pPr>
        <w:numPr>
          <w:ilvl w:val="0"/>
          <w:numId w:val="1003"/>
        </w:numPr>
        <w:pStyle w:val="Compact"/>
      </w:pPr>
      <w:r>
        <w:t xml:space="preserve">Free shuttle service from major neighborhoods (Bukhara, Ein Karem) during treatment hours</w:t>
      </w:r>
    </w:p>
    <w:p>
      <w:pPr>
        <w:numPr>
          <w:ilvl w:val="0"/>
          <w:numId w:val="1003"/>
        </w:numPr>
        <w:pStyle w:val="Compact"/>
      </w:pPr>
      <w:r>
        <w:t xml:space="preserve">Extended weekend hours (Friday 10am–2pm for Shabbat-observant patients)</w:t>
      </w:r>
    </w:p>
    <w:p>
      <w:pPr>
        <w:pStyle w:val="FirstParagraph"/>
      </w:pPr>
      <w:r>
        <w:t xml:space="preserve">Additionally, rising material costs (38% increase in imported dental composites) were mitigated by negotiating bulk contracts with Israeli manufacturers, preserving our 45% gross margin. We're now developing a localized ceramic bracket line to reduce import dependency—a move anticipated to cut costs by 15% in Q1 2024.</w:t>
      </w:r>
    </w:p>
    <w:bookmarkEnd w:id="25"/>
    <w:bookmarkStart w:id="26" w:name="vii.-conclusion-outlook"/>
    <w:p>
      <w:pPr>
        <w:pStyle w:val="Heading2"/>
      </w:pPr>
      <w:r>
        <w:t xml:space="preserve">VII. Conclusion &amp; Outlook</w:t>
      </w:r>
    </w:p>
    <w:p>
      <w:pPr>
        <w:pStyle w:val="FirstParagraph"/>
      </w:pPr>
      <w:r>
        <w:t xml:space="preserve">This Sales Report affirms that our orthodontist practice has become the benchmark for patient-centered care in Israel Jerusalem. By embedding cultural intelligence into every service—whether through neighborhood outreach, multilingual support, or religious accommodations—we've turned market gaps into competitive advantages. Our Q3 results prove that ethical business practices aligned with Jerusalem's diverse community values directly translate to revenue growth.</w:t>
      </w:r>
    </w:p>
    <w:p>
      <w:pPr>
        <w:pStyle w:val="BodyText"/>
      </w:pPr>
      <w:r>
        <w:t xml:space="preserve">Looking ahead, we project 22% annual growth for 2024 by expanding our military partnership and launching a school-based screening program in Jerusalem public schools (targeting 50,000 students). This initiative will address the critical need for early orthodontic intervention while building our brand as Israel Jerusalem's trusted dental partner. For an orthodontist practice operating in Israel Jerusalem, success isn't just about clinical excellence—it's about becoming an integral part of the community's health ecosystem. Our sales data confirms that when we prioritize local context, both patients and profits thrive.</w:t>
      </w:r>
    </w:p>
    <w:p>
      <w:pPr>
        <w:pStyle w:val="BodyText"/>
      </w:pPr>
      <w:r>
        <w:rPr>
          <w:bCs/>
          <w:b/>
        </w:rPr>
        <w:t xml:space="preserve">Prepared by:</w:t>
      </w:r>
      <w:r>
        <w:t xml:space="preserve"> </w:t>
      </w:r>
      <w:r>
        <w:t xml:space="preserve">Dr. Rivka Cohen, Chief Operations Officer</w:t>
      </w:r>
      <w:r>
        <w:br/>
      </w:r>
      <w:r>
        <w:rPr>
          <w:bCs/>
          <w:b/>
        </w:rPr>
        <w:t xml:space="preserve">Orthodontist Practice:</w:t>
      </w:r>
      <w:r>
        <w:t xml:space="preserve"> </w:t>
      </w:r>
      <w:r>
        <w:t xml:space="preserve">Jerusalem Smile Solutions | Address: 12 King Solomon St,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Jerusalem, Israel</dc:title>
  <dc:creator/>
  <dc:language>en</dc:language>
  <cp:keywords/>
  <dcterms:created xsi:type="dcterms:W3CDTF">2026-09-28T12:26:26Z</dcterms:created>
  <dcterms:modified xsi:type="dcterms:W3CDTF">2026-09-28T12:26:26Z</dcterms:modified>
</cp:coreProperties>
</file>

<file path=docProps/custom.xml><?xml version="1.0" encoding="utf-8"?>
<Properties xmlns="http://schemas.openxmlformats.org/officeDocument/2006/custom-properties" xmlns:vt="http://schemas.openxmlformats.org/officeDocument/2006/docPropsVTypes"/>
</file>