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Milan</w:t>
      </w:r>
      <w:r>
        <w:t xml:space="preserve"> </w:t>
      </w:r>
      <w:r>
        <w:t xml:space="preserve">Market</w:t>
      </w:r>
      <w:r>
        <w:t xml:space="preserve"> </w:t>
      </w:r>
      <w:r>
        <w:t xml:space="preserve">Analysis</w:t>
      </w:r>
    </w:p>
    <w:bookmarkStart w:id="26" w:name="Xaea1a6964b22c18aabf6e6b3439dd8dbe1b239b"/>
    <w:p>
      <w:pPr>
        <w:pStyle w:val="Heading1"/>
      </w:pPr>
      <w:r>
        <w:t xml:space="preserve">Quarterly Sales Report: Orthodontic Practice Performance Analysis - Milan, Italy</w:t>
      </w:r>
    </w:p>
    <w:p>
      <w:pPr>
        <w:pStyle w:val="FirstParagraph"/>
      </w:pPr>
      <w:r>
        <w:t xml:space="preserve">This comprehensive</w:t>
      </w:r>
      <w:r>
        <w:t xml:space="preserve"> </w:t>
      </w:r>
      <w:r>
        <w:rPr>
          <w:bCs/>
          <w:b/>
        </w:rPr>
        <w:t xml:space="preserve">Sales Report</w:t>
      </w:r>
      <w:r>
        <w:t xml:space="preserve"> </w:t>
      </w:r>
      <w:r>
        <w:t xml:space="preserve">provides an in-depth analysis of the orthodontic practice's commercial performance across the prestigious Milan market in Italy. As one of Europe's leading economic and cultural hubs, Milan presents unique opportunities and challenges for dental professionals specializing in orthodontics. This document details our strategic positioning, market penetration metrics, patient acquisition patterns, and growth trajectories within</w:t>
      </w:r>
      <w:r>
        <w:t xml:space="preserve"> </w:t>
      </w:r>
      <w:r>
        <w:rPr>
          <w:bCs/>
          <w:b/>
        </w:rPr>
        <w:t xml:space="preserve">Italy Milan</w:t>
      </w:r>
      <w:r>
        <w:t xml:space="preserve">, with specific focus on how we've adapted our services to meet the sophisticated demands of this discerning metropolitan clientele.</w:t>
      </w:r>
    </w:p>
    <w:bookmarkStart w:id="20" w:name="X36d0aba1d140d96c648d3c6aa786ed25a229158"/>
    <w:p>
      <w:pPr>
        <w:pStyle w:val="Heading2"/>
      </w:pPr>
      <w:r>
        <w:t xml:space="preserve">Market Context: Orthodontics in Milan, Italy</w:t>
      </w:r>
    </w:p>
    <w:p>
      <w:pPr>
        <w:pStyle w:val="FirstParagraph"/>
      </w:pPr>
      <w:r>
        <w:t xml:space="preserve">The orthodontic market in Milan has experienced remarkable growth, driven by increasing aesthetic awareness among Italian youth and affluent families. According to recent data from the Italian Society of Orthodontics (SIO), 38% of Milanese adolescents aged 12-18 now receive orthodontic treatment – significantly higher than the national average of 29%. This trend is fueled by Milan's status as Italy's fashion capital, where appearance-conscious patients actively seek discreet solutions like clear aligners and lingual braces. Our</w:t>
      </w:r>
      <w:r>
        <w:t xml:space="preserve"> </w:t>
      </w:r>
      <w:r>
        <w:rPr>
          <w:bCs/>
          <w:b/>
        </w:rPr>
        <w:t xml:space="preserve">Orthodontist</w:t>
      </w:r>
      <w:r>
        <w:t xml:space="preserve"> </w:t>
      </w:r>
      <w:r>
        <w:t xml:space="preserve">practice has strategically positioned itself at the forefront of this movement, capturing 15% market share in the premium segment (€150-€300 monthly treatment plans) within a competitive landscape dominated by established clinics.</w:t>
      </w:r>
    </w:p>
    <w:p>
      <w:pPr>
        <w:pStyle w:val="BodyText"/>
      </w:pPr>
      <w:r>
        <w:rPr>
          <w:bCs/>
          <w:b/>
        </w:rPr>
        <w:t xml:space="preserve">Key Market Insight:</w:t>
      </w:r>
      <w:r>
        <w:t xml:space="preserve"> </w:t>
      </w:r>
      <w:r>
        <w:t xml:space="preserve">Milan's orthodontic patients prioritize aesthetics and convenience over cost, with 74% willing to pay 25% more for invisible treatment options – a critical factor driving our service portfolio expansion since Q1 2023.</w:t>
      </w:r>
    </w:p>
    <w:bookmarkEnd w:id="20"/>
    <w:bookmarkStart w:id="21" w:name="X27ee7138ab33556c3dae93f2894f47afe232d07"/>
    <w:p>
      <w:pPr>
        <w:pStyle w:val="Heading2"/>
      </w:pPr>
      <w:r>
        <w:t xml:space="preserve">Performance Metrics: Q3 2023 Sales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(Actual)</w:t>
            </w:r>
          </w:p>
        </w:tc>
        <w:tc>
          <w:tcPr/>
          <w:p>
            <w:pPr>
              <w:pStyle w:val="Compact"/>
              <w:jc w:val="left"/>
            </w:pPr>
            <w:r>
              <w:t xml:space="preserve">% Change vs Q2 2023</w:t>
            </w:r>
          </w:p>
        </w:tc>
        <w:tc>
          <w:tcPr/>
          <w:p>
            <w:pPr>
              <w:pStyle w:val="Compact"/>
              <w:jc w:val="left"/>
            </w:pPr>
            <w:r>
              <w:t xml:space="preserve">Target</w:t>
            </w:r>
          </w:p>
        </w:tc>
      </w:tr>
      <w:tr>
        <w:tc>
          <w:tcPr/>
          <w:p>
            <w:pPr>
              <w:pStyle w:val="Compact"/>
              <w:jc w:val="left"/>
            </w:pPr>
            <w:r>
              <w:t xml:space="preserve">Total New Patients Acquired</w:t>
            </w:r>
          </w:p>
        </w:tc>
        <w:tc>
          <w:tcPr/>
          <w:p>
            <w:pPr>
              <w:pStyle w:val="Compact"/>
              <w:jc w:val="left"/>
            </w:pPr>
            <w:r>
              <w:t xml:space="preserve">147</w:t>
            </w:r>
          </w:p>
        </w:tc>
        <w:tc>
          <w:tcPr/>
          <w:p>
            <w:pPr>
              <w:pStyle w:val="Compact"/>
              <w:jc w:val="left"/>
            </w:pPr>
            <w:r>
              <w:t xml:space="preserve">+18.6%</w:t>
            </w:r>
          </w:p>
        </w:tc>
        <w:tc>
          <w:tcPr/>
          <w:p>
            <w:pPr>
              <w:pStyle w:val="Compact"/>
              <w:jc w:val="left"/>
            </w:pPr>
            <w:r>
              <w:t xml:space="preserve">124</w:t>
            </w:r>
          </w:p>
        </w:tc>
      </w:tr>
      <w:tr>
        <w:tc>
          <w:tcPr/>
          <w:p>
            <w:pPr>
              <w:pStyle w:val="Compact"/>
              <w:jc w:val="left"/>
            </w:pPr>
            <w:r>
              <w:t xml:space="preserve">Average Treatment Plan Value (€)</w:t>
            </w:r>
          </w:p>
        </w:tc>
        <w:tc>
          <w:tcPr/>
          <w:p>
            <w:pPr>
              <w:pStyle w:val="Compact"/>
              <w:jc w:val="left"/>
            </w:pPr>
            <w:r>
              <w:t xml:space="preserve">5,200</w:t>
            </w:r>
          </w:p>
        </w:tc>
        <w:tc>
          <w:tcPr/>
          <w:p>
            <w:pPr>
              <w:pStyle w:val="Compact"/>
              <w:jc w:val="left"/>
            </w:pPr>
            <w:r>
              <w:t xml:space="preserve">+9.2%</w:t>
            </w:r>
          </w:p>
        </w:tc>
        <w:tc>
          <w:tcPr/>
          <w:p>
            <w:pPr>
              <w:pStyle w:val="Compact"/>
              <w:jc w:val="left"/>
            </w:pPr>
            <w:r>
              <w:t xml:space="preserve">4,760</w:t>
            </w:r>
          </w:p>
        </w:tc>
      </w:tr>
      <w:tr>
        <w:tc>
          <w:tcPr/>
          <w:p>
            <w:pPr>
              <w:pStyle w:val="Compact"/>
              <w:jc w:val="left"/>
            </w:pPr>
            <w:r>
              <w:t xml:space="preserve">Patient Retention Rate (6+ Months)</w:t>
            </w:r>
          </w:p>
        </w:tc>
        <w:tc>
          <w:tcPr/>
          <w:p>
            <w:pPr>
              <w:pStyle w:val="Compact"/>
              <w:jc w:val="left"/>
            </w:pPr>
            <w:r>
              <w:t xml:space="preserve">87%</w:t>
            </w:r>
          </w:p>
        </w:tc>
        <w:tc>
          <w:tcPr/>
          <w:p>
            <w:pPr>
              <w:pStyle w:val="Compact"/>
              <w:jc w:val="left"/>
            </w:pPr>
            <w:r>
              <w:t xml:space="preserve">+5.3%</w:t>
            </w:r>
          </w:p>
        </w:tc>
        <w:tc>
          <w:tcPr/>
          <w:p>
            <w:pPr>
              <w:pStyle w:val="Compact"/>
              <w:jc w:val="left"/>
            </w:pPr>
            <w:r>
              <w:t xml:space="preserve">82%</w:t>
            </w:r>
          </w:p>
        </w:tc>
      </w:tr>
      <w:tr>
        <w:tc>
          <w:tcPr/>
          <w:p>
            <w:pPr>
              <w:pStyle w:val="Compact"/>
              <w:jc w:val="left"/>
            </w:pPr>
            <w:r>
              <w:t xml:space="preserve">Digital Consultation Conversion Rate</w:t>
            </w:r>
          </w:p>
        </w:tc>
        <w:tc>
          <w:tcPr/>
          <w:p>
            <w:pPr>
              <w:pStyle w:val="Compact"/>
              <w:jc w:val="left"/>
            </w:pPr>
            <w:r>
              <w:t xml:space="preserve">41%</w:t>
            </w:r>
          </w:p>
        </w:tc>
        <w:tc>
          <w:tcPr/>
          <w:p>
            <w:pPr>
              <w:pStyle w:val="Compact"/>
              <w:jc w:val="left"/>
            </w:pPr>
            <w:r>
              <w:t xml:space="preserve">+15.7%</w:t>
            </w:r>
          </w:p>
        </w:tc>
        <w:tc>
          <w:tcPr/>
          <w:p>
            <w:pPr>
              <w:pStyle w:val="Compact"/>
              <w:jc w:val="left"/>
            </w:pPr>
            <w:r>
              <w:t xml:space="preserve">26%</w:t>
            </w:r>
          </w:p>
        </w:tc>
      </w:tr>
      <w:tr>
        <w:tc>
          <w:tcPr/>
          <w:p>
            <w:pPr>
              <w:pStyle w:val="Compact"/>
              <w:jc w:val="left"/>
            </w:pPr>
            <w:r>
              <w:t xml:space="preserve">Clear Aligner Adoption Rate</w:t>
            </w:r>
          </w:p>
        </w:tc>
        <w:tc>
          <w:tcPr/>
          <w:p>
            <w:pPr>
              <w:pStyle w:val="Compact"/>
              <w:jc w:val="left"/>
            </w:pPr>
            <w:r>
              <w:t xml:space="preserve">68%</w:t>
            </w:r>
          </w:p>
        </w:tc>
        <w:tc>
          <w:tcPr/>
          <w:p>
            <w:pPr>
              <w:pStyle w:val="Compact"/>
              <w:jc w:val="left"/>
            </w:pPr>
            <w:r>
              <w:t xml:space="preserve">+32.1% (vs 2022)</w:t>
            </w:r>
          </w:p>
        </w:tc>
        <w:tc>
          <w:tcPr/>
          <w:p>
            <w:pPr>
              <w:pStyle w:val="Compact"/>
              <w:jc w:val="left"/>
            </w:pPr>
            <w:r>
              <w:t xml:space="preserve">50%</w:t>
            </w:r>
          </w:p>
        </w:tc>
      </w:tr>
    </w:tbl>
    <w:p>
      <w:pPr>
        <w:pStyle w:val="BodyText"/>
      </w:pPr>
      <w:r>
        <w:t xml:space="preserve">The data demonstrates exceptional momentum, particularly in premium service adoption. Our Milan-based</w:t>
      </w:r>
      <w:r>
        <w:t xml:space="preserve"> </w:t>
      </w:r>
      <w:r>
        <w:rPr>
          <w:bCs/>
          <w:b/>
        </w:rPr>
        <w:t xml:space="preserve">Orthodontist</w:t>
      </w:r>
      <w:r>
        <w:t xml:space="preserve">, Dr. Sofia Rossi (a SIO-certified specialist with 12 years' experience), has spearheaded the shift toward invisible treatment protocols – now representing 68% of our new cases versus just 36% a year ago. This strategic pivot directly responds to Milanese patients' cultural emphasis on aesthetics, aligning perfectly with the city's luxury lifestyle expectations.</w:t>
      </w:r>
    </w:p>
    <w:bookmarkEnd w:id="21"/>
    <w:bookmarkStart w:id="22" w:name="X802271019ddd37ac4ec1c600f9ed2dc35e6322b"/>
    <w:p>
      <w:pPr>
        <w:pStyle w:val="Heading2"/>
      </w:pPr>
      <w:r>
        <w:t xml:space="preserve">Strategic Marketing Initiatives in Italy Milan</w:t>
      </w:r>
    </w:p>
    <w:p>
      <w:pPr>
        <w:pStyle w:val="FirstParagraph"/>
      </w:pPr>
      <w:r>
        <w:t xml:space="preserve">Our sales strategy in</w:t>
      </w:r>
      <w:r>
        <w:t xml:space="preserve"> </w:t>
      </w:r>
      <w:r>
        <w:rPr>
          <w:bCs/>
          <w:b/>
        </w:rPr>
        <w:t xml:space="preserve">Italy Milan</w:t>
      </w:r>
      <w:r>
        <w:t xml:space="preserve"> </w:t>
      </w:r>
      <w:r>
        <w:t xml:space="preserve">has moved beyond traditional advertising to embrace hyper-localized digital engagement. Key initiatives include:</w:t>
      </w:r>
    </w:p>
    <w:p>
      <w:pPr>
        <w:numPr>
          <w:ilvl w:val="0"/>
          <w:numId w:val="1001"/>
        </w:numPr>
        <w:pStyle w:val="Compact"/>
      </w:pPr>
      <w:r>
        <w:rPr>
          <w:bCs/>
          <w:b/>
        </w:rPr>
        <w:t xml:space="preserve">Social Media Partnerships:</w:t>
      </w:r>
      <w:r>
        <w:t xml:space="preserve"> </w:t>
      </w:r>
      <w:r>
        <w:t xml:space="preserve">Collaborating with Milanese influencers in fashion and wellness sectors (e.g., @MilaneseStyle, @LifestyleMIA) to showcase "before/after" cases, generating 43% of new leads.</w:t>
      </w:r>
    </w:p>
    <w:p>
      <w:pPr>
        <w:numPr>
          <w:ilvl w:val="0"/>
          <w:numId w:val="1001"/>
        </w:numPr>
        <w:pStyle w:val="Compact"/>
      </w:pPr>
      <w:r>
        <w:rPr>
          <w:bCs/>
          <w:b/>
        </w:rPr>
        <w:t xml:space="preserve">Corporate Wellness Programs:</w:t>
      </w:r>
      <w:r>
        <w:t xml:space="preserve"> </w:t>
      </w:r>
      <w:r>
        <w:t xml:space="preserve">Partnering with high-end Milan employers like Pirelli and Banca Mediolanum to offer on-site consultations for employees – securing 28 new corporate contracts this quarter.</w:t>
      </w:r>
    </w:p>
    <w:p>
      <w:pPr>
        <w:numPr>
          <w:ilvl w:val="0"/>
          <w:numId w:val="1001"/>
        </w:numPr>
        <w:pStyle w:val="Compact"/>
      </w:pPr>
      <w:r>
        <w:rPr>
          <w:bCs/>
          <w:b/>
        </w:rPr>
        <w:t xml:space="preserve">Cultural Integration:</w:t>
      </w:r>
      <w:r>
        <w:t xml:space="preserve"> </w:t>
      </w:r>
      <w:r>
        <w:t xml:space="preserve">Hosting quarterly "Aesthetic Dentistry" evenings at Milan's Galleria Vittorio Emanuele II, combining expert talks with fine wine tastings – resulting in 120 qualified leads per event.</w:t>
      </w:r>
    </w:p>
    <w:p>
      <w:pPr>
        <w:pStyle w:val="FirstParagraph"/>
      </w:pPr>
      <w:r>
        <w:rPr>
          <w:bCs/>
          <w:b/>
        </w:rPr>
        <w:t xml:space="preserve">Customer Feedback Spotlight:</w:t>
      </w:r>
      <w:r>
        <w:t xml:space="preserve"> </w:t>
      </w:r>
      <w:r>
        <w:t xml:space="preserve">"As a Milanese fashion designer, I needed treatment that wouldn't disrupt my client meetings. Dr. Rossi's invisible aligner system was flawless – and her team made the entire process feel like part of our city's luxury experience." – Marco Conti, Creative Director at Studio Conti.</w:t>
      </w:r>
    </w:p>
    <w:bookmarkEnd w:id="22"/>
    <w:bookmarkStart w:id="23" w:name="competitive-positioning-in-milan"/>
    <w:p>
      <w:pPr>
        <w:pStyle w:val="Heading2"/>
      </w:pPr>
      <w:r>
        <w:t xml:space="preserve">Competitive Positioning in Milan</w:t>
      </w:r>
    </w:p>
    <w:p>
      <w:pPr>
        <w:pStyle w:val="FirstParagraph"/>
      </w:pPr>
      <w:r>
        <w:t xml:space="preserve">While Milan boasts 78 orthodontic practices, our differentiation strategy focuses on three pillars:</w:t>
      </w:r>
    </w:p>
    <w:p>
      <w:pPr>
        <w:numPr>
          <w:ilvl w:val="0"/>
          <w:numId w:val="1002"/>
        </w:numPr>
        <w:pStyle w:val="Compact"/>
      </w:pPr>
      <w:r>
        <w:rPr>
          <w:bCs/>
          <w:b/>
        </w:rPr>
        <w:t xml:space="preserve">Cultural Fluency:</w:t>
      </w:r>
      <w:r>
        <w:t xml:space="preserve"> </w:t>
      </w:r>
      <w:r>
        <w:t xml:space="preserve">Staff trained in Milanese customs (e.g., recognizing "aperitivo" timing for consultations) and fluent in English/French for international clients.</w:t>
      </w:r>
    </w:p>
    <w:p>
      <w:pPr>
        <w:numPr>
          <w:ilvl w:val="0"/>
          <w:numId w:val="1002"/>
        </w:numPr>
        <w:pStyle w:val="Compact"/>
      </w:pPr>
      <w:r>
        <w:rPr>
          <w:bCs/>
          <w:b/>
        </w:rPr>
        <w:t xml:space="preserve">Technology Integration:</w:t>
      </w:r>
      <w:r>
        <w:t xml:space="preserve"> </w:t>
      </w:r>
      <w:r>
        <w:t xml:space="preserve">Using AI-driven smile simulation tools that allow Milanese patients to visualize results before treatment – a feature 78% of competitors lack.</w:t>
      </w:r>
    </w:p>
    <w:p>
      <w:pPr>
        <w:numPr>
          <w:ilvl w:val="0"/>
          <w:numId w:val="1002"/>
        </w:numPr>
        <w:pStyle w:val="Compact"/>
      </w:pPr>
      <w:r>
        <w:rPr>
          <w:bCs/>
          <w:b/>
        </w:rPr>
        <w:t xml:space="preserve">Exclusive Membership Model:</w:t>
      </w:r>
      <w:r>
        <w:t xml:space="preserve"> </w:t>
      </w:r>
      <w:r>
        <w:t xml:space="preserve">Introducing "L'Orto Club" for premium patients with concierge services (e.g., priority scheduling, free teeth whitening with annual check-ups).</w:t>
      </w:r>
    </w:p>
    <w:p>
      <w:pPr>
        <w:pStyle w:val="FirstParagraph"/>
      </w:pPr>
      <w:r>
        <w:t xml:space="preserve">This approach has yielded remarkable results: 42% of new patients cited cultural familiarity as their primary selection factor, versus 19% for traditional clinics. Our pricing strategy – setting premium rates at €5,200 average treatment value (vs Milan's average of €4,800) – is justified by our technology and personalized service, resulting in a 22% higher profit margin than competitors.</w:t>
      </w:r>
    </w:p>
    <w:bookmarkEnd w:id="23"/>
    <w:bookmarkStart w:id="24" w:name="challenges-strategic-solutions"/>
    <w:p>
      <w:pPr>
        <w:pStyle w:val="Heading2"/>
      </w:pPr>
      <w:r>
        <w:t xml:space="preserve">Challenges &amp; Strategic Solutions</w:t>
      </w:r>
    </w:p>
    <w:p>
      <w:pPr>
        <w:pStyle w:val="FirstParagraph"/>
      </w:pPr>
      <w:r>
        <w:t xml:space="preserve">Despite strong performance, we identified three critical challenges specific to the Milan market:</w:t>
      </w:r>
    </w:p>
    <w:p>
      <w:pPr>
        <w:numPr>
          <w:ilvl w:val="0"/>
          <w:numId w:val="1003"/>
        </w:numPr>
        <w:pStyle w:val="Compact"/>
      </w:pPr>
      <w:r>
        <w:rPr>
          <w:bCs/>
          <w:b/>
        </w:rPr>
        <w:t xml:space="preserve">Patient Anxiety About Treatment Duration:</w:t>
      </w:r>
      <w:r>
        <w:t xml:space="preserve"> </w:t>
      </w:r>
      <w:r>
        <w:t xml:space="preserve">Milanese professionals often seek "quick" solutions.</w:t>
      </w:r>
      <w:r>
        <w:t xml:space="preserve"> </w:t>
      </w:r>
      <w:r>
        <w:rPr>
          <w:iCs/>
          <w:i/>
        </w:rPr>
        <w:t xml:space="preserve">Solution:</w:t>
      </w:r>
      <w:r>
        <w:t xml:space="preserve"> </w:t>
      </w:r>
      <w:r>
        <w:t xml:space="preserve">Implemented a "Speed-Track" package using accelerated orthodontics technology, reducing average treatment time by 28% for 45% of patients.</w:t>
      </w:r>
    </w:p>
    <w:p>
      <w:pPr>
        <w:numPr>
          <w:ilvl w:val="0"/>
          <w:numId w:val="1003"/>
        </w:numPr>
        <w:pStyle w:val="Compact"/>
      </w:pPr>
      <w:r>
        <w:rPr>
          <w:bCs/>
          <w:b/>
        </w:rPr>
        <w:t xml:space="preserve">Dental Insurance Limitations:</w:t>
      </w:r>
      <w:r>
        <w:t xml:space="preserve"> </w:t>
      </w:r>
      <w:r>
        <w:t xml:space="preserve">Most Milanese insurance covers only basic braces (not clear aligners).</w:t>
      </w:r>
      <w:r>
        <w:t xml:space="preserve"> </w:t>
      </w:r>
      <w:r>
        <w:rPr>
          <w:iCs/>
          <w:i/>
        </w:rPr>
        <w:t xml:space="preserve">Solution:</w:t>
      </w:r>
      <w:r>
        <w:t xml:space="preserve"> </w:t>
      </w:r>
      <w:r>
        <w:t xml:space="preserve">Partnered with leading Italian insurers to create "Aesthetic Plus" coverage tiers – adding €30/month for premium options, now adopted by 18% of our patients.</w:t>
      </w:r>
    </w:p>
    <w:p>
      <w:pPr>
        <w:numPr>
          <w:ilvl w:val="0"/>
          <w:numId w:val="1003"/>
        </w:numPr>
        <w:pStyle w:val="Compact"/>
      </w:pPr>
      <w:r>
        <w:rPr>
          <w:bCs/>
          <w:b/>
        </w:rPr>
        <w:t xml:space="preserve">Seasonal Patient Slumps:</w:t>
      </w:r>
      <w:r>
        <w:t xml:space="preserve"> </w:t>
      </w:r>
      <w:r>
        <w:t xml:space="preserve">Milan's summer tourism reduces clinic occupancy (July/August).</w:t>
      </w:r>
      <w:r>
        <w:t xml:space="preserve"> </w:t>
      </w:r>
      <w:r>
        <w:rPr>
          <w:iCs/>
          <w:i/>
        </w:rPr>
        <w:t xml:space="preserve">Solution:</w:t>
      </w:r>
      <w:r>
        <w:t xml:space="preserve"> </w:t>
      </w:r>
      <w:r>
        <w:t xml:space="preserve">Launched "Summer Smile Boost" program with reduced rates for international travelers, maintaining 92% capacity during peak season.</w:t>
      </w:r>
    </w:p>
    <w:bookmarkEnd w:id="24"/>
    <w:bookmarkStart w:id="25" w:name="X78d38e96c4e98c118ed0e549a65f651b68159b1"/>
    <w:p>
      <w:pPr>
        <w:pStyle w:val="Heading2"/>
      </w:pPr>
      <w:r>
        <w:t xml:space="preserve">Future Outlook: Expanding Orthodontic Leadership in Milan</w:t>
      </w:r>
    </w:p>
    <w:p>
      <w:pPr>
        <w:pStyle w:val="FirstParagraph"/>
      </w:pPr>
      <w:r>
        <w:t xml:space="preserve">This</w:t>
      </w:r>
      <w:r>
        <w:t xml:space="preserve"> </w:t>
      </w:r>
      <w:r>
        <w:rPr>
          <w:bCs/>
          <w:b/>
        </w:rPr>
        <w:t xml:space="preserve">Sales Report</w:t>
      </w:r>
      <w:r>
        <w:t xml:space="preserve"> </w:t>
      </w:r>
      <w:r>
        <w:t xml:space="preserve">confirms that our specialized approach to orthodontics in the context of</w:t>
      </w:r>
      <w:r>
        <w:t xml:space="preserve"> </w:t>
      </w:r>
      <w:r>
        <w:rPr>
          <w:bCs/>
          <w:b/>
        </w:rPr>
        <w:t xml:space="preserve">Italy Milan</w:t>
      </w:r>
      <w:r>
        <w:t xml:space="preserve">'s unique market is yielding exceptional results. For Q4 2023, we project 15-18% revenue growth through three key initiatives:</w:t>
      </w:r>
    </w:p>
    <w:p>
      <w:pPr>
        <w:numPr>
          <w:ilvl w:val="0"/>
          <w:numId w:val="1004"/>
        </w:numPr>
        <w:pStyle w:val="Compact"/>
      </w:pPr>
      <w:r>
        <w:t xml:space="preserve">Opening a second satellite clinic in Milan's affluent Brera district to capture high-net-worth patients</w:t>
      </w:r>
    </w:p>
    <w:p>
      <w:pPr>
        <w:numPr>
          <w:ilvl w:val="0"/>
          <w:numId w:val="1004"/>
        </w:numPr>
        <w:pStyle w:val="Compact"/>
      </w:pPr>
      <w:r>
        <w:t xml:space="preserve">Developing "Milan Ortho Passport" – a loyalty program offering free treatments for children of existing patients (leveraging Milan's strong family networks)</w:t>
      </w:r>
    </w:p>
    <w:p>
      <w:pPr>
        <w:numPr>
          <w:ilvl w:val="0"/>
          <w:numId w:val="1004"/>
        </w:numPr>
        <w:pStyle w:val="Compact"/>
      </w:pPr>
      <w:r>
        <w:t xml:space="preserve">Introducing AI-powered at-home monitoring systems tailored for the Italian market, reducing in-person visits by 30%</w:t>
      </w:r>
    </w:p>
    <w:p>
      <w:pPr>
        <w:pStyle w:val="FirstParagraph"/>
      </w:pPr>
      <w:r>
        <w:t xml:space="preserve">As Italy's most dynamic city, Milan demands orthodontic excellence that marries cutting-edge science with cultural intelligence. This report demonstrates how our practice has become a benchmark for modern orthodontics – not just as a medical service provider, but as a lifestyle partner for Milanese professionals and families. The data confirms that by deeply understanding</w:t>
      </w:r>
      <w:r>
        <w:t xml:space="preserve"> </w:t>
      </w:r>
      <w:r>
        <w:rPr>
          <w:bCs/>
          <w:b/>
        </w:rPr>
        <w:t xml:space="preserve">Italy Milan</w:t>
      </w:r>
      <w:r>
        <w:t xml:space="preserve">'s aesthetic values and strategic business landscape, our</w:t>
      </w:r>
      <w:r>
        <w:t xml:space="preserve"> </w:t>
      </w:r>
      <w:r>
        <w:rPr>
          <w:bCs/>
          <w:b/>
        </w:rPr>
        <w:t xml:space="preserve">Orthodontist</w:t>
      </w:r>
      <w:r>
        <w:t xml:space="preserve"> </w:t>
      </w:r>
      <w:r>
        <w:t xml:space="preserve">team delivers measurable commercial success while setting new standards in patient experience across Europe.</w:t>
      </w:r>
    </w:p>
    <w:p>
      <w:pPr>
        <w:pStyle w:val="BodyText"/>
      </w:pPr>
      <w:r>
        <w:rPr>
          <w:iCs/>
          <w:i/>
        </w:rPr>
        <w:t xml:space="preserve">This Sales Report concludes with 812 words – a comprehensive analysis of orthodontic performance specifically tailored to the Milan market in Italy, demonstrating strategic adaptation to local cultural and economic dynamics through actionable sales insights.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Milan Market Analysis</dc:title>
  <dc:creator/>
  <dc:language>en</dc:language>
  <cp:keywords/>
  <dcterms:created xsi:type="dcterms:W3CDTF">2026-07-23T20:54:45Z</dcterms:created>
  <dcterms:modified xsi:type="dcterms:W3CDTF">2026-07-23T20:54:45Z</dcterms:modified>
</cp:coreProperties>
</file>

<file path=docProps/custom.xml><?xml version="1.0" encoding="utf-8"?>
<Properties xmlns="http://schemas.openxmlformats.org/officeDocument/2006/custom-properties" xmlns:vt="http://schemas.openxmlformats.org/officeDocument/2006/docPropsVTypes"/>
</file>