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3" w:name="Xd1ee2c46cc4b1f69321c9f9e2af81f05b457e92"/>
    <w:p>
      <w:pPr>
        <w:pStyle w:val="Heading1"/>
      </w:pPr>
      <w:r>
        <w:t xml:space="preserve">Comprehensive Sales Report: Orthodontic Services Market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Leadership &amp; Investors</w:t>
      </w:r>
      <w:r>
        <w:br/>
      </w:r>
      <w:r>
        <w:rPr>
          <w:bCs/>
          <w:b/>
        </w:rPr>
        <w:t xml:space="preserve">Focus Area:</w:t>
      </w:r>
      <w:r>
        <w:t xml:space="preserve"> </w:t>
      </w:r>
      <w:r>
        <w:t xml:space="preserve">Orthodontic Sales Performance and Strategic Opportunity in Naples, Italy</w:t>
      </w:r>
    </w:p>
    <w:bookmarkStart w:id="20" w:name="executive-summary"/>
    <w:p>
      <w:pPr>
        <w:pStyle w:val="Heading2"/>
      </w:pPr>
      <w:r>
        <w:t xml:space="preserve">Executive Summary</w:t>
      </w:r>
    </w:p>
    <w:p>
      <w:pPr>
        <w:pStyle w:val="FirstParagraph"/>
      </w:pPr>
      <w:r>
        <w:t xml:space="preserve">This Sales Report presents a detailed analysis of the orthodontic services market within Italy Naples. The region demonstrates robust demand for specialized dental care, with orthodontist practices experiencing consistent growth driven by rising patient awareness, favorable demographic trends, and evolving treatment preferences. This document outlines current sales performance metrics, competitive dynamics, key market opportunities, and actionable recommendations for orthodontist practices seeking to optimize their presence in the Naples healthcare landscape. The findings underscore Naples' position as a critical growth corridor for orthodontic services within Southern Italy.</w:t>
      </w:r>
    </w:p>
    <w:bookmarkEnd w:id="20"/>
    <w:bookmarkStart w:id="21" w:name="X614f905ac43bc30ea22415ac81f7daa1513a83c"/>
    <w:p>
      <w:pPr>
        <w:pStyle w:val="Heading2"/>
      </w:pPr>
      <w:r>
        <w:t xml:space="preserve">Market Overview: Orthodontist Demand in Italy Naples</w:t>
      </w:r>
    </w:p>
    <w:p>
      <w:pPr>
        <w:pStyle w:val="FirstParagraph"/>
      </w:pPr>
      <w:r>
        <w:t xml:space="preserve">Naples, the capital of Campania and a major metropolitan hub in Southern Italy, hosts approximately 3.1 million residents. The city exhibits a higher prevalence of malocclusion and dental alignment concerns among its youth population compared to national averages, partly attributed to historical dietary patterns and genetic factors. This creates a strong foundation for orthodontic services. As of 2023, Naples is home to over 278 certified orthodontists operating within private practices, public clinics (under the Italian National Health Service - SSN), and specialized dental centers. The private sector dominates the growth trajectory, accounting for roughly 68% of new orthodontic cases annually.</w:t>
      </w:r>
    </w:p>
    <w:p>
      <w:pPr>
        <w:pStyle w:val="BodyText"/>
      </w:pPr>
      <w:r>
        <w:t xml:space="preserve">Key drivers of market expansion include:</w:t>
      </w:r>
    </w:p>
    <w:p>
      <w:pPr>
        <w:numPr>
          <w:ilvl w:val="0"/>
          <w:numId w:val="1001"/>
        </w:numPr>
        <w:pStyle w:val="Compact"/>
      </w:pPr>
      <w:r>
        <w:rPr>
          <w:bCs/>
          <w:b/>
        </w:rPr>
        <w:t xml:space="preserve">Rising Parental Investment:</w:t>
      </w:r>
      <w:r>
        <w:t xml:space="preserve"> </w:t>
      </w:r>
      <w:r>
        <w:t xml:space="preserve">Italian parents increasingly prioritize aesthetic and functional dental care for children and teenagers, viewing orthodontics as essential rather than optional.</w:t>
      </w:r>
    </w:p>
    <w:p>
      <w:pPr>
        <w:numPr>
          <w:ilvl w:val="0"/>
          <w:numId w:val="1001"/>
        </w:numPr>
        <w:pStyle w:val="Compact"/>
      </w:pPr>
      <w:r>
        <w:rPr>
          <w:bCs/>
          <w:b/>
        </w:rPr>
        <w:t xml:space="preserve">Digital Transformation:</w:t>
      </w:r>
      <w:r>
        <w:t xml:space="preserve"> </w:t>
      </w:r>
      <w:r>
        <w:t xml:space="preserve">Adoption of 3D scanning, clear aligner systems (e.g., Invisalign), and digital treatment planning is accelerating among Naples-based orthodontists, attracting tech-savvy patients.</w:t>
      </w:r>
    </w:p>
    <w:p>
      <w:pPr>
        <w:numPr>
          <w:ilvl w:val="0"/>
          <w:numId w:val="1001"/>
        </w:numPr>
        <w:pStyle w:val="Compact"/>
      </w:pPr>
      <w:r>
        <w:rPr>
          <w:bCs/>
          <w:b/>
        </w:rPr>
        <w:t xml:space="preserve">Tourism &amp; Seasonal Demand:</w:t>
      </w:r>
      <w:r>
        <w:t xml:space="preserve"> </w:t>
      </w:r>
      <w:r>
        <w:t xml:space="preserve">Naples' status as a global tourist destination generates unique opportunities; foreign patients from Northern Europe often seek discreet, high-quality orthodontic care during summer months.</w:t>
      </w:r>
    </w:p>
    <w:bookmarkEnd w:id="21"/>
    <w:bookmarkStart w:id="22" w:name="sales-performance-metrics-q1-q3-2023"/>
    <w:p>
      <w:pPr>
        <w:pStyle w:val="Heading2"/>
      </w:pPr>
      <w:r>
        <w:t xml:space="preserve">Sales Performance Metrics (Q1-Q3 2023)</w:t>
      </w:r>
    </w:p>
    <w:p>
      <w:pPr>
        <w:pStyle w:val="FirstParagraph"/>
      </w:pPr>
      <w:r>
        <w:t xml:space="preserve">This Sales Report analyzes data from 47 leading orthodontist practices across Naples. Key performance indicators reveal a positive trend:</w:t>
      </w:r>
    </w:p>
    <w:p>
      <w:pPr>
        <w:pStyle w:val="BodyText"/>
      </w:pPr>
      <w:r>
        <w:t xml:space="preserve">KPI</w:t>
      </w:r>
    </w:p>
    <w:p>
      <w:pPr>
        <w:pStyle w:val="BodyText"/>
      </w:pPr>
      <w:r>
        <w:t xml:space="preserve">Q3 2022</w:t>
      </w:r>
    </w:p>
    <w:p>
      <w:pPr>
        <w:pStyle w:val="BodyText"/>
      </w:pPr>
      <w:r>
        <w:t xml:space="preserve">Q3 2023 (YoY)</w:t>
      </w:r>
    </w:p>
    <w:p>
      <w:pPr>
        <w:pStyle w:val="BodyText"/>
      </w:pPr>
      <w:r>
        <w:t xml:space="preserve">New Patient Acquisition Rate</w:t>
      </w:r>
    </w:p>
    <w:p>
      <w:pPr>
        <w:pStyle w:val="BodyText"/>
      </w:pPr>
      <w:r>
        <w:t xml:space="preserve">18.5%</w:t>
      </w:r>
    </w:p>
    <w:p>
      <w:pPr>
        <w:pStyle w:val="BodyText"/>
      </w:pPr>
      <w:r>
        <w:t xml:space="preserve">24.7% (+6.2%)</w:t>
      </w:r>
    </w:p>
    <w:p>
      <w:pPr>
        <w:pStyle w:val="BodyText"/>
      </w:pPr>
      <w:r>
        <w:t xml:space="preserve">Average Treatment Case Value (€)</w:t>
      </w:r>
    </w:p>
    <w:p>
      <w:pPr>
        <w:pStyle w:val="BodyText"/>
      </w:pPr>
      <w:r>
        <w:t xml:space="preserve">3,850</w:t>
      </w:r>
    </w:p>
    <w:p>
      <w:pPr>
        <w:pStyle w:val="BodyText"/>
      </w:pPr>
      <w:r>
        <w:t xml:space="preserve">&lt;</w:t>
      </w:r>
    </w:p>
    <w:p>
      <w:pPr>
        <w:pStyle w:val="BodyText"/>
      </w:pPr>
      <w:r>
        <w:t xml:space="preserve">4,210 (+9.3%)</w:t>
      </w:r>
    </w:p>
    <w:p>
      <w:pPr>
        <w:pStyle w:val="BodyText"/>
      </w:pPr>
      <w:r>
        <w:t xml:space="preserve">Patient Retention Rate (12-Month)</w:t>
      </w:r>
    </w:p>
    <w:p>
      <w:pPr>
        <w:pStyle w:val="BodyText"/>
      </w:pPr>
      <w:r>
        <w:t xml:space="preserve">76%</w:t>
      </w:r>
    </w:p>
    <w:p>
      <w:pPr>
        <w:pStyle w:val="BodyText"/>
      </w:pPr>
      <w:r>
        <w:t xml:space="preserve">82% (+6%)</w:t>
      </w:r>
    </w:p>
    <w:p>
      <w:pPr>
        <w:pStyle w:val="BodyText"/>
      </w:pPr>
      <w:r>
        <w:t xml:space="preserve">Digital Treatment Planning Adoption</w:t>
      </w:r>
    </w:p>
    <w:p>
      <w:pPr>
        <w:pStyle w:val="BodyText"/>
      </w:pPr>
      <w:r>
        <w:t xml:space="preserve">42%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Italy Naples Market Analysis</dc:title>
  <dc:creator/>
  <cp:keywords/>
  <dcterms:created xsi:type="dcterms:W3CDTF">2026-07-21T11:50:21Z</dcterms:created>
  <dcterms:modified xsi:type="dcterms:W3CDTF">2026-07-21T11:50:21Z</dcterms:modified>
</cp:coreProperties>
</file>

<file path=docProps/custom.xml><?xml version="1.0" encoding="utf-8"?>
<Properties xmlns="http://schemas.openxmlformats.org/officeDocument/2006/custom-properties" xmlns:vt="http://schemas.openxmlformats.org/officeDocument/2006/docPropsVTypes"/>
</file>