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Orthodontic</w:t>
      </w:r>
      <w:r>
        <w:t xml:space="preserve"> </w:t>
      </w:r>
      <w:r>
        <w:t xml:space="preserve">Sales</w:t>
      </w:r>
      <w:r>
        <w:t xml:space="preserve"> </w:t>
      </w:r>
      <w:r>
        <w:t xml:space="preserve">Report:</w:t>
      </w:r>
      <w:r>
        <w:t xml:space="preserve"> </w:t>
      </w:r>
      <w:r>
        <w:t xml:space="preserve">Tokyo</w:t>
      </w:r>
      <w:r>
        <w:t xml:space="preserve"> </w:t>
      </w:r>
      <w:r>
        <w:t xml:space="preserve">Market</w:t>
      </w:r>
      <w:r>
        <w:t xml:space="preserve"> </w:t>
      </w:r>
      <w:r>
        <w:t xml:space="preserve">Analysis</w:t>
      </w:r>
    </w:p>
    <w:bookmarkStart w:id="34" w:name="Xb86c6b065cfeed91fa6c72c5b2097b82560ee18"/>
    <w:p>
      <w:pPr>
        <w:pStyle w:val="Heading1"/>
      </w:pPr>
      <w:r>
        <w:t xml:space="preserve">ORTHODONTIC SALES REPORT: TOKYO MARKET ANALYSIS (Q3 2023)</w:t>
      </w:r>
    </w:p>
    <w:p>
      <w:pPr>
        <w:pStyle w:val="FirstParagraph"/>
      </w:pPr>
      <w:r>
        <w:rPr>
          <w:bCs/>
          <w:b/>
        </w:rPr>
        <w:t xml:space="preserve">Prepared For:</w:t>
      </w:r>
      <w:r>
        <w:t xml:space="preserve"> </w:t>
      </w:r>
      <w:r>
        <w:t xml:space="preserve">Global Ortho Solutions Executive Leadership</w:t>
      </w:r>
      <w:r>
        <w:br/>
      </w:r>
      <w:r>
        <w:rPr>
          <w:bCs/>
          <w:b/>
        </w:rPr>
        <w:t xml:space="preserve">Date:</w:t>
      </w:r>
      <w:r>
        <w:t xml:space="preserve"> </w:t>
      </w:r>
      <w:r>
        <w:t xml:space="preserve">October 26, 2023</w:t>
      </w:r>
      <w:r>
        <w:br/>
      </w:r>
      <w:r>
        <w:rPr>
          <w:bCs/>
          <w:b/>
        </w:rPr>
        <w:t xml:space="preserve">Prepared By:</w:t>
      </w:r>
      <w:r>
        <w:t xml:space="preserve"> </w:t>
      </w:r>
      <w:r>
        <w:t xml:space="preserve">Japan Market Strategy Division</w:t>
      </w:r>
    </w:p>
    <w:bookmarkStart w:id="21" w:name="i.-executive-summary"/>
    <w:p>
      <w:pPr>
        <w:pStyle w:val="Heading2"/>
      </w:pPr>
      <w:r>
        <w:t xml:space="preserve">I. Executive Summary</w:t>
      </w:r>
    </w:p>
    <w:p>
      <w:pPr>
        <w:pStyle w:val="FirstParagraph"/>
      </w:pPr>
      <w:r>
        <w:t xml:space="preserve">This comprehensive Sales Report details the performance and strategic outlook for orthodontic products in Japan Tokyo, the nation's most dynamic and competitive dental market. The Tokyo orthodontist community has demonstrated remarkable growth potential, with a 14.7% year-over-year increase in patient consultations at our key partner practices during Q3 2023. Despite intense competition from domestic manufacturers and established Western brands, our premium digital aligner system (OrthoFlex Pro) captured 8.2% market share among Tokyo-based orthodontists – a 3.5-point surge from the previous quarter. This report confirms that targeted investment in Tokyo's orthodontist ecosystem remains critical to achieving our regional revenue goals.</w:t>
      </w:r>
    </w:p>
    <w:bookmarkStart w:id="20" w:name="key-market-insight"/>
    <w:p>
      <w:pPr>
        <w:pStyle w:val="Heading3"/>
      </w:pPr>
      <w:r>
        <w:t xml:space="preserve">Key Market Insight:</w:t>
      </w:r>
    </w:p>
    <w:p>
      <w:pPr>
        <w:pStyle w:val="FirstParagraph"/>
      </w:pPr>
      <w:r>
        <w:t xml:space="preserve">The Japanese orthodontic industry is experiencing a paradigm shift toward digital workflows, with 76% of Tokyo-based orthodontists now integrating 3D scanning and virtual treatment planning into their practices. This trend presents an unprecedented opportunity for innovative sales strategies that align with the evolving needs of Japan's elite orthodontist professionals.</w:t>
      </w:r>
    </w:p>
    <w:bookmarkEnd w:id="20"/>
    <w:bookmarkEnd w:id="21"/>
    <w:bookmarkStart w:id="22" w:name="ii.-tokyo-orthodontist-market-landscape"/>
    <w:p>
      <w:pPr>
        <w:pStyle w:val="Heading2"/>
      </w:pPr>
      <w:r>
        <w:t xml:space="preserve">II. Tokyo Orthodontist Market Landscape</w:t>
      </w:r>
    </w:p>
    <w:p>
      <w:pPr>
        <w:pStyle w:val="FirstParagraph"/>
      </w:pPr>
      <w:r>
        <w:t xml:space="preserve">Japan Tokyo represents 38% of the nation's total orthodontic procedures, housing over 1,400 specialized orthodontic practices within its metropolitan area alone. Our Sales Report identifies three critical trends shaping this premium segment:</w:t>
      </w:r>
    </w:p>
    <w:p>
      <w:pPr>
        <w:numPr>
          <w:ilvl w:val="0"/>
          <w:numId w:val="1001"/>
        </w:numPr>
        <w:pStyle w:val="Compact"/>
      </w:pPr>
      <w:r>
        <w:rPr>
          <w:bCs/>
          <w:b/>
        </w:rPr>
        <w:t xml:space="preserve">Digital Transformation Acceleration:</w:t>
      </w:r>
      <w:r>
        <w:t xml:space="preserve"> </w:t>
      </w:r>
      <w:r>
        <w:t xml:space="preserve">Tokyo orthodontists are leading Japan in adopting AI-powered treatment planning (up 42% YoY), directly influencing their equipment procurement decisions.</w:t>
      </w:r>
    </w:p>
    <w:p>
      <w:pPr>
        <w:numPr>
          <w:ilvl w:val="0"/>
          <w:numId w:val="1001"/>
        </w:numPr>
        <w:pStyle w:val="Compact"/>
      </w:pPr>
      <w:r>
        <w:rPr>
          <w:bCs/>
          <w:b/>
        </w:rPr>
        <w:t xml:space="preserve">High-Value Patient Expectations:</w:t>
      </w:r>
      <w:r>
        <w:t xml:space="preserve"> </w:t>
      </w:r>
      <w:r>
        <w:t xml:space="preserve">With disposable income 28% above national average, patients demand cosmetic solutions – driving demand for invisible aligners and aesthetic braces at a 23% CAGR.</w:t>
      </w:r>
    </w:p>
    <w:p>
      <w:pPr>
        <w:numPr>
          <w:ilvl w:val="0"/>
          <w:numId w:val="1001"/>
        </w:numPr>
        <w:pStyle w:val="Compact"/>
      </w:pPr>
      <w:r>
        <w:rPr>
          <w:bCs/>
          <w:b/>
        </w:rPr>
        <w:t xml:space="preserve">Regulatory Environment:</w:t>
      </w:r>
      <w:r>
        <w:t xml:space="preserve"> </w:t>
      </w:r>
      <w:r>
        <w:t xml:space="preserve">Japan's Ministry of Health, Labour and Welfare (MHLW) requires all orthodontic devices to undergo rigorous biocompatibility testing, creating barriers for non-compliant suppliers.</w:t>
      </w:r>
    </w:p>
    <w:bookmarkEnd w:id="22"/>
    <w:bookmarkStart w:id="24" w:name="Xc3907cb0649885346613b72e39301036d72cd1e"/>
    <w:p>
      <w:pPr>
        <w:pStyle w:val="Heading2"/>
      </w:pPr>
      <w:r>
        <w:t xml:space="preserve">III. Sales Performance Analysis (Tokyo Orthodontist Segment)</w:t>
      </w:r>
    </w:p>
    <w:p>
      <w:pPr>
        <w:pStyle w:val="FirstParagraph"/>
      </w:pPr>
      <w:r>
        <w:t xml:space="preserve">Sales Metric</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Total Orthodontic Product Sales (JPY)</w:t>
      </w:r>
    </w:p>
    <w:p>
      <w:pPr>
        <w:pStyle w:val="BodyText"/>
      </w:pPr>
      <w:r>
        <w:t xml:space="preserve">¥148,750,000</w:t>
      </w:r>
    </w:p>
    <w:p>
      <w:pPr>
        <w:pStyle w:val="BodyText"/>
      </w:pPr>
      <w:r>
        <w:t xml:space="preserve">¥129,300,000</w:t>
      </w:r>
    </w:p>
    <w:p>
      <w:pPr>
        <w:pStyle w:val="BodyText"/>
      </w:pPr>
      <w:r>
        <w:t xml:space="preserve">+15.1%</w:t>
      </w:r>
    </w:p>
    <w:p>
      <w:pPr>
        <w:pStyle w:val="BodyText"/>
      </w:pPr>
      <w:r>
        <w:t xml:space="preserve">New Orthodontist Partnerships</w:t>
      </w:r>
    </w:p>
    <w:p>
      <w:pPr>
        <w:pStyle w:val="BodyText"/>
      </w:pPr>
      <w:r>
        <w:t xml:space="preserve">47</w:t>
      </w:r>
    </w:p>
    <w:p>
      <w:pPr>
        <w:pStyle w:val="BodyText"/>
      </w:pPr>
      <w:r>
        <w:t xml:space="preserve">32</w:t>
      </w:r>
    </w:p>
    <w:p>
      <w:pPr>
        <w:pStyle w:val="BodyText"/>
      </w:pPr>
      <w:r>
        <w:t xml:space="preserve">+46.9%</w:t>
      </w:r>
    </w:p>
    <w:p>
      <w:pPr>
        <w:pStyle w:val="BodyText"/>
      </w:pPr>
      <w:r>
        <w:t xml:space="preserve">OrthoFlex Pro System Adoption Rate</w:t>
      </w:r>
    </w:p>
    <w:p>
      <w:pPr>
        <w:pStyle w:val="BodyText"/>
      </w:pPr>
      <w:r>
        <w:t xml:space="preserve">8.2%</w:t>
      </w:r>
    </w:p>
    <w:p>
      <w:pPr>
        <w:pStyle w:val="BodyText"/>
      </w:pPr>
      <w:r>
        <w:br/>
      </w:r>
      <w:r>
        <w:t xml:space="preserve">8.2% of Tokyo orthodontists</w:t>
      </w:r>
    </w:p>
    <w:p>
      <w:pPr>
        <w:pStyle w:val="BodyText"/>
      </w:pPr>
      <w:r>
        <w:t xml:space="preserve">10.3% among practices with &gt;5,000 annual patients</w:t>
      </w:r>
      <w:r>
        <w:br/>
      </w:r>
      <w:r>
        <w:t xml:space="preserve">67% repeat purchase rate (vs industry avg: 49%)</w:t>
      </w:r>
    </w:p>
    <w:p>
      <w:pPr>
        <w:pStyle w:val="BodyText"/>
      </w:pPr>
      <w:r>
        <w:t xml:space="preserve">4.7%</w:t>
      </w:r>
    </w:p>
    <w:p>
      <w:pPr>
        <w:pStyle w:val="BodyText"/>
      </w:pPr>
      <w:r>
        <w:t xml:space="preserve">+78.7%</w:t>
      </w:r>
    </w:p>
    <w:p>
      <w:pPr>
        <w:pStyle w:val="BodyText"/>
      </w:pPr>
      <w:r>
        <w:t xml:space="preserve">Customer Satisfaction Score (CSAT)</w:t>
      </w:r>
    </w:p>
    <w:p>
      <w:pPr>
        <w:pStyle w:val="BodyText"/>
      </w:pPr>
      <w:r>
        <w:t xml:space="preserve">92.3%</w:t>
      </w:r>
    </w:p>
    <w:p>
      <w:pPr>
        <w:pStyle w:val="BodyText"/>
      </w:pPr>
      <w:r>
        <w:t xml:space="preserve">88.1%</w:t>
      </w:r>
    </w:p>
    <w:p>
      <w:pPr>
        <w:pStyle w:val="BodyText"/>
      </w:pPr>
      <w:r>
        <w:t xml:space="preserve">+4.2 pts</w:t>
      </w:r>
    </w:p>
    <w:p>
      <w:pPr>
        <w:pStyle w:val="BodyText"/>
      </w:pPr>
      <w:r>
        <w:br/>
      </w:r>
      <w:r>
        <w:t xml:space="preserve">92.3% of Tokyo orthodontists rated support as "excellent"</w:t>
      </w:r>
    </w:p>
    <w:p>
      <w:pPr>
        <w:pStyle w:val="BodyText"/>
      </w:pPr>
      <w:r>
        <w:t xml:space="preserve">Top 3 in service quality among global orthodontic suppliers</w:t>
      </w:r>
    </w:p>
    <w:bookmarkStart w:id="23" w:name="Xc9b764119a2f35c14fa3b2529af5706d87a2490"/>
    <w:p>
      <w:pPr>
        <w:pStyle w:val="Heading3"/>
      </w:pPr>
      <w:r>
        <w:t xml:space="preserve">Regional Sales Breakdown: Key Tokyo Suburbs</w:t>
      </w:r>
    </w:p>
    <w:p>
      <w:pPr>
        <w:pStyle w:val="FirstParagraph"/>
      </w:pPr>
      <w:r>
        <w:t xml:space="preserve">Our field data reveals significant variance across Tokyo's dental districts:</w:t>
      </w:r>
    </w:p>
    <w:p>
      <w:pPr>
        <w:numPr>
          <w:ilvl w:val="0"/>
          <w:numId w:val="1002"/>
        </w:numPr>
        <w:pStyle w:val="Compact"/>
      </w:pPr>
      <w:r>
        <w:rPr>
          <w:bCs/>
          <w:b/>
        </w:rPr>
        <w:t xml:space="preserve">Roppongi &amp; Shibuya:</w:t>
      </w:r>
      <w:r>
        <w:t xml:space="preserve"> </w:t>
      </w:r>
      <w:r>
        <w:t xml:space="preserve">Highest conversion rates (12.7%) among premium practices; 74% of orthodontists prefer digital solutions</w:t>
      </w:r>
    </w:p>
    <w:p>
      <w:pPr>
        <w:numPr>
          <w:ilvl w:val="0"/>
          <w:numId w:val="1002"/>
        </w:numPr>
        <w:pStyle w:val="Compact"/>
      </w:pPr>
      <w:r>
        <w:rPr>
          <w:bCs/>
          <w:b/>
        </w:rPr>
        <w:t xml:space="preserve">Taito &amp; Chiyoda:</w:t>
      </w:r>
      <w:r>
        <w:t xml:space="preserve"> </w:t>
      </w:r>
      <w:r>
        <w:t xml:space="preserve">Strongest growth in aesthetic braces (31% increase); 89% adoption of our clear bracket system</w:t>
      </w:r>
    </w:p>
    <w:p>
      <w:pPr>
        <w:numPr>
          <w:ilvl w:val="0"/>
          <w:numId w:val="1002"/>
        </w:numPr>
        <w:pStyle w:val="Compact"/>
      </w:pPr>
      <w:r>
        <w:rPr>
          <w:bCs/>
          <w:b/>
        </w:rPr>
        <w:t xml:space="preserve">Setagaya &amp; Meguro:</w:t>
      </w:r>
      <w:r>
        <w:t xml:space="preserve"> </w:t>
      </w:r>
      <w:r>
        <w:t xml:space="preserve">Highest volume for adult orthodontic cases (64% of total procedures); key market for our "Adult Smile" aligner package</w:t>
      </w:r>
    </w:p>
    <w:bookmarkEnd w:id="23"/>
    <w:bookmarkEnd w:id="24"/>
    <w:bookmarkStart w:id="27" w:name="iv.-strategic-challenges-opportunities"/>
    <w:p>
      <w:pPr>
        <w:pStyle w:val="Heading2"/>
      </w:pPr>
      <w:r>
        <w:t xml:space="preserve">IV. Strategic Challenges &amp; Opportunities</w:t>
      </w:r>
    </w:p>
    <w:bookmarkStart w:id="25" w:name="critical-challenge"/>
    <w:p>
      <w:pPr>
        <w:pStyle w:val="Heading3"/>
      </w:pPr>
      <w:r>
        <w:t xml:space="preserve">Critical Challenge:</w:t>
      </w:r>
    </w:p>
    <w:p>
      <w:pPr>
        <w:pStyle w:val="FirstParagraph"/>
      </w:pPr>
      <w:r>
        <w:t xml:space="preserve">The dominant local player (Dentoscan Japan) maintains 41% market share through deep relationships with Tokyo's dental associations. Their exclusive partnership with the Japan Orthodontic Society (JOS) creates a significant barrier for new entrants – requiring us to develop parallel relationship-building strategies within the orthodontist community.</w:t>
      </w:r>
    </w:p>
    <w:bookmarkEnd w:id="25"/>
    <w:bookmarkStart w:id="26" w:name="emerging-opportunity"/>
    <w:p>
      <w:pPr>
        <w:pStyle w:val="Heading3"/>
      </w:pPr>
      <w:r>
        <w:t xml:space="preserve">Emerging Opportunity:</w:t>
      </w:r>
    </w:p>
    <w:p>
      <w:pPr>
        <w:pStyle w:val="FirstParagraph"/>
      </w:pPr>
      <w:r>
        <w:t xml:space="preserve">The Japanese government's "Healthy Japan 2040" initiative has allocated ¥1.8 billion for orthodontic care expansion in urban centers. This presents a unique opportunity to position our orthodontist-focused sales team as key partners in implementing national oral health goals, particularly through:</w:t>
      </w:r>
    </w:p>
    <w:p>
      <w:pPr>
        <w:numPr>
          <w:ilvl w:val="0"/>
          <w:numId w:val="1003"/>
        </w:numPr>
        <w:pStyle w:val="Compact"/>
      </w:pPr>
      <w:r>
        <w:t xml:space="preserve">Co-developing "Digital Ortho Hubs" with Tokyo dental schools</w:t>
      </w:r>
    </w:p>
    <w:p>
      <w:pPr>
        <w:numPr>
          <w:ilvl w:val="0"/>
          <w:numId w:val="1003"/>
        </w:numPr>
        <w:pStyle w:val="Compact"/>
      </w:pPr>
      <w:r>
        <w:t xml:space="preserve">Promoting tele-orthodontic services for remote Tokyo suburbs</w:t>
      </w:r>
    </w:p>
    <w:p>
      <w:pPr>
        <w:numPr>
          <w:ilvl w:val="0"/>
          <w:numId w:val="1003"/>
        </w:numPr>
        <w:pStyle w:val="Compact"/>
      </w:pPr>
      <w:r>
        <w:t xml:space="preserve">Creating JOS-certified training modules for our products</w:t>
      </w:r>
    </w:p>
    <w:bookmarkEnd w:id="26"/>
    <w:bookmarkEnd w:id="27"/>
    <w:bookmarkStart w:id="32" w:name="Xa0d21a72ff3ae18e4b5c6ef1c8a599a380dde20"/>
    <w:p>
      <w:pPr>
        <w:pStyle w:val="Heading2"/>
      </w:pPr>
      <w:r>
        <w:t xml:space="preserve">V. Strategic Recommendations for Tokyo Orthodontist Sales Growth</w:t>
      </w:r>
    </w:p>
    <w:bookmarkStart w:id="28" w:name="Xf4c2766017d9deeca07b29c6698e8d378588af3"/>
    <w:p>
      <w:pPr>
        <w:pStyle w:val="Heading3"/>
      </w:pPr>
      <w:r>
        <w:t xml:space="preserve">1. Hyper-Localized Product Training (Immediate Action)</w:t>
      </w:r>
    </w:p>
    <w:p>
      <w:pPr>
        <w:pStyle w:val="FirstParagraph"/>
      </w:pPr>
      <w:r>
        <w:t xml:space="preserve">Develop Japan-specific training materials addressing orthodontist concerns about cultural nuances in patient communication and Japanese dental insurance protocols. Target 100% of new Tokyo orthodontists through in-person workshops at key locations like Tokyo Dental College.</w:t>
      </w:r>
    </w:p>
    <w:bookmarkEnd w:id="28"/>
    <w:bookmarkStart w:id="29" w:name="X417e87e8d5e3aab67f85fac3bd01726270d3a18"/>
    <w:p>
      <w:pPr>
        <w:pStyle w:val="Heading3"/>
      </w:pPr>
      <w:r>
        <w:t xml:space="preserve">2. Strategic Alliances with Orthodontic Societies</w:t>
      </w:r>
    </w:p>
    <w:p>
      <w:pPr>
        <w:pStyle w:val="FirstParagraph"/>
      </w:pPr>
      <w:r>
        <w:t xml:space="preserve">Propose joint research initiatives with the Japan Orthodontic Society to publish clinical studies on our technology's efficacy in Japanese dental anatomy. This directly addresses the primary barrier to market penetration identified by 78% of Tokyo orthodontists during our Q3 surveys.</w:t>
      </w:r>
    </w:p>
    <w:bookmarkEnd w:id="29"/>
    <w:bookmarkStart w:id="30" w:name="X14206408e5b6cce06fc6a7bbe5ff9300aa94679"/>
    <w:p>
      <w:pPr>
        <w:pStyle w:val="Heading3"/>
      </w:pPr>
      <w:r>
        <w:t xml:space="preserve">3. Premium Service Tier for Tokyo Orthodontist Partners</w:t>
      </w:r>
    </w:p>
    <w:p>
      <w:pPr>
        <w:pStyle w:val="FirstParagraph"/>
      </w:pPr>
      <w:r>
        <w:t xml:space="preserve">Launch "JOS Platinum Partnership" with exclusive benefits:</w:t>
      </w:r>
      <w:r>
        <w:t xml:space="preserve"> </w:t>
      </w:r>
      <w:r>
        <w:t xml:space="preserve">- Dedicated Japanese-speaking technical support (24/7)</w:t>
      </w:r>
      <w:r>
        <w:t xml:space="preserve"> </w:t>
      </w:r>
      <w:r>
        <w:t xml:space="preserve">- Priority access to new product launches</w:t>
      </w:r>
      <w:r>
        <w:t xml:space="preserve"> </w:t>
      </w:r>
      <w:r>
        <w:t xml:space="preserve">- Co-branded patient education materials in Japanese</w:t>
      </w:r>
    </w:p>
    <w:bookmarkEnd w:id="30"/>
    <w:bookmarkStart w:id="31" w:name="X376794dfc57f967d682335fcc8c48e437dfe0b0"/>
    <w:p>
      <w:pPr>
        <w:pStyle w:val="Heading3"/>
      </w:pPr>
      <w:r>
        <w:t xml:space="preserve">4. Targeted Digital Marketing for Tokyo Orthodontists</w:t>
      </w:r>
    </w:p>
    <w:p>
      <w:pPr>
        <w:pStyle w:val="FirstParagraph"/>
      </w:pPr>
      <w:r>
        <w:t xml:space="preserve">Shift 65% of marketing budget from print to LinkedIn and Japan-specific platforms like "Dentist.jp" where 89% of Tokyo orthodontists actively engage. Focus content on ROI metrics: "How our system reduced patient chair time by 22% at Shinjuku Ortho Clinic."</w:t>
      </w:r>
    </w:p>
    <w:bookmarkEnd w:id="31"/>
    <w:bookmarkEnd w:id="32"/>
    <w:bookmarkStart w:id="33" w:name="vi.-conclusion"/>
    <w:p>
      <w:pPr>
        <w:pStyle w:val="Heading2"/>
      </w:pPr>
      <w:r>
        <w:t xml:space="preserve">VI. Conclusion</w:t>
      </w:r>
    </w:p>
    <w:p>
      <w:pPr>
        <w:pStyle w:val="FirstParagraph"/>
      </w:pPr>
      <w:r>
        <w:t xml:space="preserve">This Sales Report confirms that Tokyo remains the indispensable engine for global orthodontic growth in Japan, with its orthodontist community setting industry standards for digital adoption and patient service. The 15% quarterly sales growth in this segment validates our strategic focus, though sustained leadership requires deeper integration within Tokyo's unique professional ecosystem. By prioritizing culturally attuned relationship building and leveraging the government's oral health initiative through JOS partnerships, we project a 25% market share increase by Q2 2024 – a critical milestone for our Japan Tokyo expansion strategy.</w:t>
      </w:r>
    </w:p>
    <w:p>
      <w:pPr>
        <w:pStyle w:val="BodyText"/>
      </w:pPr>
      <w:r>
        <w:t xml:space="preserve">The data is unequivocal: The most successful orthodontic products in Japan Tokyo are not merely sold, but co-created with the orthodontist community. Our next quarterly Sales Report will track implementation metrics of these strategic initiatives and their impact on partnership conversion rates within Tokyo's elite dental practices.</w:t>
      </w:r>
    </w:p>
    <w:p>
      <w:pPr>
        <w:pStyle w:val="BodyText"/>
      </w:pPr>
      <w:r>
        <w:t xml:space="preserve">Global Ortho Solutions | Driving Excellence in Orthodontic Care Worldwide | Confidential - For Internal Use Only</w:t>
      </w:r>
    </w:p>
    <w:p>
      <w:pPr>
        <w:pStyle w:val="BodyText"/>
      </w:pPr>
      <w:r>
        <w:t xml:space="preserve">This report covers all orthodontic sales data for Japan Tokyo metropolitan area (23 wards). Market share calculations based on MHLW dental device registration records and 1,400+ orthodontist surveys.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Orthodontic Sales Report: Tokyo Market Analysis</dc:title>
  <dc:creator/>
  <dc:language>en</dc:language>
  <cp:keywords/>
  <dcterms:created xsi:type="dcterms:W3CDTF">2026-07-23T19:24:11Z</dcterms:created>
  <dcterms:modified xsi:type="dcterms:W3CDTF">2026-07-23T19:24:11Z</dcterms:modified>
</cp:coreProperties>
</file>

<file path=docProps/custom.xml><?xml version="1.0" encoding="utf-8"?>
<Properties xmlns="http://schemas.openxmlformats.org/officeDocument/2006/custom-properties" xmlns:vt="http://schemas.openxmlformats.org/officeDocument/2006/docPropsVTypes"/>
</file>