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Market</w:t>
      </w:r>
      <w:r>
        <w:t xml:space="preserve"> </w:t>
      </w:r>
      <w:r>
        <w:t xml:space="preserve">Analysis</w:t>
      </w:r>
    </w:p>
    <w:bookmarkStart w:id="27" w:name="X9b87fb709ce4a15b95a6f05171e7442d0b765ea"/>
    <w:p>
      <w:pPr>
        <w:pStyle w:val="Heading1"/>
      </w:pPr>
      <w:r>
        <w:t xml:space="preserve">Orthodontist Sales Report: Nairobi Kenya Market Performance Analysis</w:t>
      </w:r>
    </w:p>
    <w:bookmarkStart w:id="20" w:name="executive-summary"/>
    <w:p>
      <w:pPr>
        <w:pStyle w:val="Heading2"/>
      </w:pPr>
      <w:r>
        <w:t xml:space="preserve">Executive Summary</w:t>
      </w:r>
    </w:p>
    <w:p>
      <w:pPr>
        <w:pStyle w:val="FirstParagraph"/>
      </w:pPr>
      <w:r>
        <w:t xml:space="preserve">This comprehensive Sales Report details the performance of orthodontic services across Nairobi, Kenya for Q3 2023 (July-September). The report analyzes sales trends, market dynamics, and strategic opportunities specific to the Nairobi orthodontist sector. With Nairobi emerging as East Africa's leading dental innovation hub, our practice has achieved a remarkable 18% year-over-year growth in patient acquisition while maintaining industry-leading customer satisfaction scores of 4.8/5.0 across all service categories.</w:t>
      </w:r>
    </w:p>
    <w:p>
      <w:pPr>
        <w:pStyle w:val="BodyText"/>
      </w:pPr>
      <w:r>
        <w:t xml:space="preserve">Key focus areas include expanding access to orthodontic care in Nairobi's growing middle-class population, addressing affordability barriers through innovative financing, and leveraging digital marketing to reach new demographics. This report confirms that strategic positioning as a premium yet accessible orthodontist practice in Nairobi continues to yield strong commercial results.</w:t>
      </w:r>
    </w:p>
    <w:bookmarkEnd w:id="20"/>
    <w:bookmarkStart w:id="21" w:name="q3-sales-performance-overview"/>
    <w:p>
      <w:pPr>
        <w:pStyle w:val="Heading2"/>
      </w:pPr>
      <w:r>
        <w:t xml:space="preserve">Q3 Sales Performance Overview</w:t>
      </w:r>
    </w:p>
    <w:p>
      <w:pPr>
        <w:pStyle w:val="FirstParagraph"/>
      </w:pPr>
      <w:r>
        <w:t xml:space="preserve">Nairobi's orthodontic market demonstrated robust growth during Q3 2023. Our practice recorded a total revenue of KES 18.7M (approx. USD 145,000), representing a 22% increase over the same period last year and surpassing our quarterly target by 15%. The most significant growth drivers were in two key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(KES)</w:t>
            </w:r>
          </w:p>
        </w:tc>
        <w:tc>
          <w:tcPr/>
          <w:p>
            <w:pPr>
              <w:pStyle w:val="Compact"/>
              <w:jc w:val="left"/>
            </w:pPr>
            <w:r>
              <w:t xml:space="preserve">YoY Growth</w:t>
            </w:r>
          </w:p>
        </w:tc>
        <w:tc>
          <w:tcPr/>
          <w:p>
            <w:pPr>
              <w:pStyle w:val="Compact"/>
              <w:jc w:val="left"/>
            </w:pPr>
            <w:r>
              <w:t xml:space="preserve">% of Total Revenue</w:t>
            </w:r>
          </w:p>
        </w:tc>
      </w:tr>
      <w:tr>
        <w:tc>
          <w:tcPr/>
          <w:p>
            <w:pPr>
              <w:pStyle w:val="Compact"/>
              <w:jc w:val="left"/>
            </w:pPr>
            <w:r>
              <w:t xml:space="preserve">Premium Metal Braces</w:t>
            </w:r>
          </w:p>
        </w:tc>
        <w:tc>
          <w:tcPr/>
          <w:p>
            <w:pPr>
              <w:pStyle w:val="Compact"/>
              <w:jc w:val="left"/>
            </w:pPr>
            <w:r>
              <w:t xml:space="preserve">7,250,000</w:t>
            </w:r>
          </w:p>
        </w:tc>
        <w:tc>
          <w:tcPr/>
          <w:p>
            <w:pPr>
              <w:pStyle w:val="Compact"/>
              <w:jc w:val="left"/>
            </w:pPr>
            <w:r>
              <w:t xml:space="preserve">14%</w:t>
            </w:r>
          </w:p>
        </w:tc>
        <w:tc>
          <w:tcPr/>
          <w:p>
            <w:pPr>
              <w:pStyle w:val="Compact"/>
              <w:jc w:val="left"/>
            </w:pPr>
            <w:r>
              <w:t xml:space="preserve">38.8%</w:t>
            </w:r>
          </w:p>
        </w:tc>
      </w:tr>
      <w:tr>
        <w:tc>
          <w:tcPr/>
          <w:p>
            <w:pPr>
              <w:pStyle w:val="Compact"/>
              <w:jc w:val="left"/>
            </w:pPr>
            <w:r>
              <w:t xml:space="preserve">Total Orthodontic Services</w:t>
            </w:r>
          </w:p>
        </w:tc>
        <w:tc>
          <w:tcPr/>
          <w:p>
            <w:pPr>
              <w:pStyle w:val="Compact"/>
              <w:jc w:val="left"/>
            </w:pPr>
            <w:r>
              <w:rPr>
                <w:bCs/>
                <w:b/>
              </w:rPr>
              <w:t xml:space="preserve">18,700,000</w:t>
            </w:r>
          </w:p>
        </w:tc>
        <w:tc>
          <w:tcPr/>
          <w:p>
            <w:pPr>
              <w:pStyle w:val="Compact"/>
              <w:jc w:val="left"/>
            </w:pPr>
            <w:r>
              <w:rPr>
                <w:bCs/>
                <w:b/>
              </w:rPr>
              <w:t xml:space="preserve">+22%</w:t>
            </w:r>
          </w:p>
        </w:tc>
        <w:tc>
          <w:tcPr/>
          <w:p>
            <w:pPr>
              <w:pStyle w:val="Compact"/>
              <w:jc w:val="left"/>
            </w:pPr>
            <w:r>
              <w:rPr>
                <w:bCs/>
                <w:b/>
              </w:rPr>
              <w:t xml:space="preserve">100%</w:t>
            </w:r>
          </w:p>
        </w:tc>
      </w:tr>
    </w:tbl>
    <w:p>
      <w:pPr>
        <w:pStyle w:val="BodyText"/>
      </w:pPr>
      <w:r>
        <w:t xml:space="preserve">The 38.8% contribution from metal braces underscores Nairobi's continued preference for cost-effective solutions, while the strong growth in clear aligner services (42% YoY increase) reflects rising consumer awareness of aesthetic options. Notably, we achieved this growth without increasing pricing structures, maintaining our commitment to affordable orthodontic care in Nairobi's competitive market.</w:t>
      </w:r>
    </w:p>
    <w:bookmarkEnd w:id="21"/>
    <w:bookmarkStart w:id="22" w:name="X0b99cc0886bf653d1d80fd33b8b50dc3d2cab52"/>
    <w:p>
      <w:pPr>
        <w:pStyle w:val="Heading2"/>
      </w:pPr>
      <w:r>
        <w:t xml:space="preserve">Nairobi Market Analysis: Orthodontist Industry Insights</w:t>
      </w:r>
    </w:p>
    <w:p>
      <w:pPr>
        <w:pStyle w:val="FirstParagraph"/>
      </w:pPr>
      <w:r>
        <w:t xml:space="preserve">Kenya's dental sector is experiencing unprecedented growth, with Nairobi accounting for over 65% of the country's orthodontic demand. Our market research reveals three critical trends shaping the Nairobi orthodontist landscape:</w:t>
      </w:r>
    </w:p>
    <w:p>
      <w:pPr>
        <w:numPr>
          <w:ilvl w:val="0"/>
          <w:numId w:val="1001"/>
        </w:numPr>
        <w:pStyle w:val="Compact"/>
      </w:pPr>
      <w:r>
        <w:rPr>
          <w:bCs/>
          <w:b/>
        </w:rPr>
        <w:t xml:space="preserve">Demographic Shift:</w:t>
      </w:r>
      <w:r>
        <w:t xml:space="preserve"> </w:t>
      </w:r>
      <w:r>
        <w:t xml:space="preserve">A rapidly expanding middle class (35-45% of Nairobi's population) now prioritizes aesthetic dental care, with orthodontic services growing at 12.7% annually in urban Kenyan centers</w:t>
      </w:r>
    </w:p>
    <w:p>
      <w:pPr>
        <w:numPr>
          <w:ilvl w:val="0"/>
          <w:numId w:val="1001"/>
        </w:numPr>
        <w:pStyle w:val="Compact"/>
      </w:pPr>
      <w:r>
        <w:rPr>
          <w:bCs/>
          <w:b/>
        </w:rPr>
        <w:t xml:space="preserve">Affordability Innovation:</w:t>
      </w:r>
      <w:r>
        <w:t xml:space="preserve"> </w:t>
      </w:r>
      <w:r>
        <w:t xml:space="preserve">Patients increasingly seek payment plans – our 0% financing option attracted 68 new patients in Q3 alone</w:t>
      </w:r>
    </w:p>
    <w:p>
      <w:pPr>
        <w:numPr>
          <w:ilvl w:val="0"/>
          <w:numId w:val="1001"/>
        </w:numPr>
        <w:pStyle w:val="Compact"/>
      </w:pPr>
      <w:r>
        <w:rPr>
          <w:bCs/>
          <w:b/>
        </w:rPr>
        <w:t xml:space="preserve">Digital Transformation:</w:t>
      </w:r>
      <w:r>
        <w:t xml:space="preserve"> </w:t>
      </w:r>
      <w:r>
        <w:t xml:space="preserve">Over 75% of new consultations originate from social media campaigns targeting Nairobi's youth and professional demographics</w:t>
      </w:r>
    </w:p>
    <w:p>
      <w:pPr>
        <w:pStyle w:val="FirstParagraph"/>
      </w:pPr>
      <w:r>
        <w:t xml:space="preserve">Competitor analysis shows that while Nairobi has over 40 orthodontic practices, few offer comprehensive service packages with transparent pricing. Our practice has capitalized on this gap through our "Nairobi Smile Guarantee" – a 36-month warranty on all treatments, which contributed to a 27% increase in referral rates from general dentists across the city.</w:t>
      </w:r>
    </w:p>
    <w:bookmarkEnd w:id="22"/>
    <w:bookmarkStart w:id="23" w:name="customer-demographics-feedback"/>
    <w:p>
      <w:pPr>
        <w:pStyle w:val="Heading2"/>
      </w:pPr>
      <w:r>
        <w:t xml:space="preserve">Customer Demographics &amp; Feedback</w:t>
      </w:r>
    </w:p>
    <w:p>
      <w:pPr>
        <w:pStyle w:val="FirstParagraph"/>
      </w:pPr>
      <w:r>
        <w:t xml:space="preserve">Our Q3 patient acquisition profile reveals Nairobi's orthodontic market evolution: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Demographic Segment</w:t>
            </w:r>
          </w:p>
        </w:tc>
        <w:tc>
          <w:tcPr/>
          <w:p>
            <w:pPr>
              <w:pStyle w:val="Compact"/>
              <w:jc w:val="left"/>
            </w:pPr>
            <w:r>
              <w:t xml:space="preserve">% of Total Patients</w:t>
            </w:r>
          </w:p>
        </w:tc>
        <w:tc>
          <w:tcPr/>
          <w:p>
            <w:pPr>
              <w:pStyle w:val="Compact"/>
              <w:jc w:val="left"/>
            </w:pPr>
            <w:r>
              <w:t xml:space="preserve">Primary Service Requested</w:t>
            </w:r>
          </w:p>
        </w:tc>
        <w:tc>
          <w:tcPr/>
          <w:p>
            <w:pPr>
              <w:pStyle w:val="Compact"/>
              <w:jc w:val="left"/>
            </w:pPr>
            <w:r>
              <w:t xml:space="preserve">Satisfaction Score (1-5)</w:t>
            </w:r>
          </w:p>
        </w:tc>
      </w:tr>
      <w:tr>
        <w:tc>
          <w:tcPr/>
          <w:p>
            <w:pPr>
              <w:pStyle w:val="Compact"/>
              <w:jc w:val="left"/>
            </w:pPr>
            <w:r>
              <w:t xml:space="preserve">Teens (13-19 years)</w:t>
            </w:r>
          </w:p>
        </w:tc>
        <w:tc>
          <w:tcPr/>
          <w:p>
            <w:pPr>
              <w:pStyle w:val="Compact"/>
              <w:jc w:val="left"/>
            </w:pPr>
            <w:r>
              <w:t xml:space="preserve">42%</w:t>
            </w:r>
          </w:p>
        </w:tc>
        <w:tc>
          <w:tcPr/>
          <w:p>
            <w:pPr>
              <w:pStyle w:val="Compact"/>
              <w:jc w:val="left"/>
            </w:pPr>
            <w:r>
              <w:t xml:space="preserve">Traditional Braces</w:t>
            </w:r>
          </w:p>
        </w:tc>
        <w:tc>
          <w:tcPr/>
          <w:p>
            <w:pPr>
              <w:pStyle w:val="Compact"/>
              <w:jc w:val="left"/>
            </w:pPr>
            <w:r>
              <w:t xml:space="preserve">4.6</w:t>
            </w:r>
          </w:p>
        </w:tc>
      </w:tr>
      <w:tr>
        <w:tc>
          <w:tcPr/>
          <w:p>
            <w:pPr>
              <w:pStyle w:val="Compact"/>
              <w:jc w:val="left"/>
            </w:pPr>
            <w:r>
              <w:t xml:space="preserve">Total Orthodontic Patients</w:t>
            </w:r>
          </w:p>
        </w:tc>
        <w:tc>
          <w:tcPr/>
          <w:p>
            <w:pPr>
              <w:pStyle w:val="Compact"/>
              <w:jc w:val="left"/>
            </w:pPr>
            <w:r>
              <w:rPr>
                <w:bCs/>
                <w:b/>
              </w:rPr>
              <w:t xml:space="preserve">582 patients</w:t>
            </w:r>
          </w:p>
        </w:tc>
        <w:tc>
          <w:tcPr/>
          <w:p>
            <w:pPr>
              <w:pStyle w:val="Compact"/>
              <w:jc w:val="left"/>
            </w:pPr>
            <w:r>
              <w:rPr>
                <w:bCs/>
                <w:b/>
              </w:rPr>
              <w:t xml:space="preserve">All Services Included</w:t>
            </w:r>
          </w:p>
        </w:tc>
        <w:tc>
          <w:tcPr/>
          <w:p>
            <w:pPr>
              <w:pStyle w:val="Compact"/>
              <w:jc w:val="left"/>
            </w:pPr>
            <w:r>
              <w:rPr>
                <w:bCs/>
                <w:b/>
              </w:rPr>
              <w:t xml:space="preserve">4.8/5.0 avg.</w:t>
            </w:r>
          </w:p>
        </w:tc>
      </w:tr>
    </w:tbl>
    <w:p>
      <w:pPr>
        <w:pStyle w:val="BodyText"/>
      </w:pPr>
      <w:r>
        <w:t xml:space="preserve">Customer feedback consistently highlights three strengths: transparent pricing (mentioned by 92% of patients), culturally sensitive communication (87%), and convenient Nairobi clinic locations near key residential areas like Westlands, Kilimani, and Karen. A significant 63% of new patients cited "Nairobi-based orthodontist with English/Kiswahili bilingual staff" as their primary selection criterion.</w:t>
      </w:r>
    </w:p>
    <w:bookmarkEnd w:id="23"/>
    <w:bookmarkStart w:id="24" w:name="challenges-in-the-nairobi-market"/>
    <w:p>
      <w:pPr>
        <w:pStyle w:val="Heading2"/>
      </w:pPr>
      <w:r>
        <w:t xml:space="preserve">Challenges in the Nairobi Market</w:t>
      </w:r>
    </w:p>
    <w:p>
      <w:pPr>
        <w:pStyle w:val="FirstParagraph"/>
      </w:pPr>
      <w:r>
        <w:t xml:space="preserve">Despite strong growth, our Nairobi orthodontist practice faces specific market challenges:</w:t>
      </w:r>
    </w:p>
    <w:p>
      <w:pPr>
        <w:numPr>
          <w:ilvl w:val="0"/>
          <w:numId w:val="1002"/>
        </w:numPr>
        <w:pStyle w:val="Compact"/>
      </w:pPr>
      <w:r>
        <w:rPr>
          <w:bCs/>
          <w:b/>
        </w:rPr>
        <w:t xml:space="preserve">Supply Chain Constraints:</w:t>
      </w:r>
      <w:r>
        <w:t xml:space="preserve"> </w:t>
      </w:r>
      <w:r>
        <w:t xml:space="preserve">Import duties on orthodontic materials increased by 18% in Q3, impacting production costs for specialized appliances</w:t>
      </w:r>
    </w:p>
    <w:p>
      <w:pPr>
        <w:numPr>
          <w:ilvl w:val="0"/>
          <w:numId w:val="1002"/>
        </w:numPr>
        <w:pStyle w:val="Compact"/>
      </w:pPr>
      <w:r>
        <w:rPr>
          <w:bCs/>
          <w:b/>
        </w:rPr>
        <w:t xml:space="preserve">Competition from Non-Orthodontists:</w:t>
      </w:r>
      <w:r>
        <w:t xml:space="preserve"> </w:t>
      </w:r>
      <w:r>
        <w:t xml:space="preserve">Unregulated "dental clinics" offering incomplete orthodontic services have created market confusion</w:t>
      </w:r>
    </w:p>
    <w:p>
      <w:pPr>
        <w:numPr>
          <w:ilvl w:val="0"/>
          <w:numId w:val="1002"/>
        </w:numPr>
        <w:pStyle w:val="Compact"/>
      </w:pPr>
      <w:r>
        <w:rPr>
          <w:bCs/>
          <w:b/>
        </w:rPr>
        <w:t xml:space="preserve">Affordability Barriers:</w:t>
      </w:r>
      <w:r>
        <w:t xml:space="preserve"> </w:t>
      </w:r>
      <w:r>
        <w:t xml:space="preserve">While 72% of Nairobi households earn above KES 50,000/month, only 34% perceive orthodontics as financially accessible</w:t>
      </w:r>
    </w:p>
    <w:p>
      <w:pPr>
        <w:pStyle w:val="FirstParagraph"/>
      </w:pPr>
      <w:r>
        <w:t xml:space="preserve">Our strategic response includes developing a partnership with the Nairobi County Government to offer subsidized orthodontic screenings at public health centers – a program that generated 87 new qualified leads in Q3.</w:t>
      </w:r>
    </w:p>
    <w:bookmarkEnd w:id="24"/>
    <w:bookmarkStart w:id="25" w:name="X6a3323bf9bceeefd62d9d81dc504cf58ef7773a"/>
    <w:p>
      <w:pPr>
        <w:pStyle w:val="Heading2"/>
      </w:pPr>
      <w:r>
        <w:t xml:space="preserve">Growth Strategies for Nairobi Orthodontist Success</w:t>
      </w:r>
    </w:p>
    <w:p>
      <w:pPr>
        <w:pStyle w:val="FirstParagraph"/>
      </w:pPr>
      <w:r>
        <w:t xml:space="preserve">Based on Q3 performance, we've implemented three targeted initiatives to accelerate growth in the Nairobi market:</w:t>
      </w:r>
    </w:p>
    <w:p>
      <w:pPr>
        <w:numPr>
          <w:ilvl w:val="0"/>
          <w:numId w:val="1003"/>
        </w:numPr>
        <w:pStyle w:val="Compact"/>
      </w:pPr>
      <w:r>
        <w:rPr>
          <w:bCs/>
          <w:b/>
        </w:rPr>
        <w:t xml:space="preserve">Community Health Partnerships:</w:t>
      </w:r>
      <w:r>
        <w:t xml:space="preserve"> </w:t>
      </w:r>
      <w:r>
        <w:t xml:space="preserve">Launching monthly "Smile Days" at selected Nairobi public schools (in partnership with Ministry of Health) to educate students and parents about orthodontic benefits</w:t>
      </w:r>
    </w:p>
    <w:p>
      <w:pPr>
        <w:numPr>
          <w:ilvl w:val="0"/>
          <w:numId w:val="1003"/>
        </w:numPr>
        <w:pStyle w:val="Compact"/>
      </w:pPr>
      <w:r>
        <w:rPr>
          <w:bCs/>
          <w:b/>
        </w:rPr>
        <w:t xml:space="preserve">Digital Experience Enhancement:</w:t>
      </w:r>
      <w:r>
        <w:t xml:space="preserve"> </w:t>
      </w:r>
      <w:r>
        <w:t xml:space="preserve">Developing a Nairobi-specific mobile app featuring virtual smile simulations for our KES 1,500 consultation fee (resulting in 35% higher conversion from online inquiries)</w:t>
      </w:r>
    </w:p>
    <w:p>
      <w:pPr>
        <w:numPr>
          <w:ilvl w:val="0"/>
          <w:numId w:val="1003"/>
        </w:numPr>
        <w:pStyle w:val="Compact"/>
      </w:pPr>
      <w:r>
        <w:rPr>
          <w:bCs/>
          <w:b/>
        </w:rPr>
        <w:t xml:space="preserve">Financing Expansion:</w:t>
      </w:r>
      <w:r>
        <w:t xml:space="preserve"> </w:t>
      </w:r>
      <w:r>
        <w:t xml:space="preserve">Securing partnerships with two major Kenyan banks to offer interest-free orthodontic financing plans – now covering 78% of our patient base</w:t>
      </w:r>
    </w:p>
    <w:p>
      <w:pPr>
        <w:pStyle w:val="FirstParagraph"/>
      </w:pPr>
      <w:r>
        <w:t xml:space="preserve">These strategies have already yielded results: the community health initiative generated 120 new patients, while the digital enhancements reduced consultation-to-treatment conversion time by 3 days on average in Nairobi.</w:t>
      </w:r>
    </w:p>
    <w:bookmarkEnd w:id="25"/>
    <w:bookmarkStart w:id="26" w:name="conclusion-forward-outlook"/>
    <w:p>
      <w:pPr>
        <w:pStyle w:val="Heading2"/>
      </w:pPr>
      <w:r>
        <w:t xml:space="preserve">Conclusion &amp; Forward Outlook</w:t>
      </w:r>
    </w:p>
    <w:p>
      <w:pPr>
        <w:pStyle w:val="FirstParagraph"/>
      </w:pPr>
      <w:r>
        <w:t xml:space="preserve">The Q3 Sales Report confirms that our orthodontist practice is strategically positioned to lead Nairobi's dental transformation. As Kenya's fastest-growing market for orthodontic services, Nairobi presents unparalleled opportunity – especially with the government's recent healthcare sector reforms prioritizing oral health infrastructure.</w:t>
      </w:r>
    </w:p>
    <w:p>
      <w:pPr>
        <w:pStyle w:val="BodyText"/>
      </w:pPr>
      <w:r>
        <w:t xml:space="preserve">We project 25-30% revenue growth in Q4 2023 through targeted expansion into new Nairobi neighborhoods (notably Ruiru and Embakasi) and strategic partnerships with Kenyan corporate wellness programs. Our commitment to delivering premium, accessible orthodontic care remains unwavering, ensuring that every Nairobi resident – regardless of income level – can achieve a confident smile.</w:t>
      </w:r>
    </w:p>
    <w:p>
      <w:pPr>
        <w:pStyle w:val="BodyText"/>
      </w:pPr>
      <w:r>
        <w:t xml:space="preserve">As we continue to set new benchmarks for orthodontist excellence in Kenya Nairobi, this Sales Report underscores our dedication to sustainable growth that balances commercial success with meaningful community impact. The future of orthodontic care in Nairobi is bright, and our practice will remain at the forefront of this vital health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Nairobi Kenya Market Analysis</dc:title>
  <dc:creator/>
  <dc:language>en</dc:language>
  <cp:keywords/>
  <dcterms:created xsi:type="dcterms:W3CDTF">2025-12-13T04:29:23Z</dcterms:created>
  <dcterms:modified xsi:type="dcterms:W3CDTF">2025-12-13T04:29:23Z</dcterms:modified>
</cp:coreProperties>
</file>

<file path=docProps/custom.xml><?xml version="1.0" encoding="utf-8"?>
<Properties xmlns="http://schemas.openxmlformats.org/officeDocument/2006/custom-properties" xmlns:vt="http://schemas.openxmlformats.org/officeDocument/2006/docPropsVTypes"/>
</file>