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Kuala</w:t>
      </w:r>
      <w:r>
        <w:t xml:space="preserve"> </w:t>
      </w:r>
      <w:r>
        <w:t xml:space="preserve">Lumpur</w:t>
      </w:r>
      <w:r>
        <w:t xml:space="preserve"> </w:t>
      </w:r>
      <w:r>
        <w:t xml:space="preserve">Malaysia</w:t>
      </w:r>
    </w:p>
    <w:bookmarkStart w:id="28" w:name="X33172e6b944fcbc37b06c6ac34bb98ef6324b62"/>
    <w:p>
      <w:pPr>
        <w:pStyle w:val="Heading1"/>
      </w:pPr>
      <w:r>
        <w:t xml:space="preserve">Orthodontic Sales Performance Report: Kuala Lumpur, Malaysia Market Analysis</w:t>
      </w:r>
    </w:p>
    <w:bookmarkStart w:id="20" w:name="executive-summary"/>
    <w:p>
      <w:pPr>
        <w:pStyle w:val="Heading2"/>
      </w:pPr>
      <w:r>
        <w:t xml:space="preserve">Executive Summary</w:t>
      </w:r>
    </w:p>
    <w:p>
      <w:pPr>
        <w:pStyle w:val="FirstParagraph"/>
      </w:pPr>
      <w:r>
        <w:t xml:space="preserve">This comprehensive Sales Report details the performance of orthodontic services across key dental practices in Kuala Lumpur, Malaysia. As one of Southeast Asia's most dynamic healthcare markets, Malaysia's orthodontic sector has demonstrated remarkable growth potential. This report analyzes current sales trends, patient acquisition metrics, and competitive positioning for orthodontists operating in the Kuala Lumpur metropolitan area during Q1-Q3 2023. The data confirms that Kuala Lumpur remains the epicenter of orthodontic innovation and demand in Malaysia, with our practice achieving a 17.5% year-over-year revenue increase through strategic market positioning.</w:t>
      </w:r>
    </w:p>
    <w:bookmarkEnd w:id="20"/>
    <w:bookmarkStart w:id="21" w:name="Xd8f678b8394f8d3713dfe6b157b07c17ed63081"/>
    <w:p>
      <w:pPr>
        <w:pStyle w:val="Heading2"/>
      </w:pPr>
      <w:r>
        <w:t xml:space="preserve">Market Context: Orthodontics in Malaysia Kuala Lumpur</w:t>
      </w:r>
    </w:p>
    <w:p>
      <w:pPr>
        <w:pStyle w:val="FirstParagraph"/>
      </w:pPr>
      <w:r>
        <w:t xml:space="preserve">Kuala Lumpur serves as Malaysia's primary healthcare hub, housing 68% of the country's orthodontic specialists and 73% of premium dental chains. The city's orthodontic market has grown at a CAGR of 12.4% since 2019, driven by rising disposable incomes (Malaysian GDP growth at 4.5% in Q2 2023), increasing dental insurance penetration (now covering 38% of urban populations), and heightened social awareness around oral aesthetics. This Sales Report confirms that orthodontists in Kuala Lumpur are uniquely positioned to capitalize on these trends, with the city accounting for approximately RM 148 million ($31.5 million USD) in annual orthodontic service revenue – representing 62% of Malaysia's total market share.</w:t>
      </w:r>
    </w:p>
    <w:bookmarkEnd w:id="21"/>
    <w:bookmarkStart w:id="23" w:name="key-sales-performance-metrics-q1-q3-2023"/>
    <w:p>
      <w:pPr>
        <w:pStyle w:val="Heading2"/>
      </w:pPr>
      <w:r>
        <w:t xml:space="preserve">Key Sales Performance Metrics (Q1-Q3 2023)</w:t>
      </w:r>
    </w:p>
    <w:p>
      <w:pPr>
        <w:pStyle w:val="FirstParagraph"/>
      </w:pPr>
      <w:r>
        <w:t xml:space="preserve">Performance Indicator</w:t>
      </w:r>
    </w:p>
    <w:p>
      <w:pPr>
        <w:pStyle w:val="BodyText"/>
      </w:pPr>
      <w:r>
        <w:t xml:space="preserve">Q3 2023</w:t>
      </w:r>
    </w:p>
    <w:p>
      <w:pPr>
        <w:pStyle w:val="BodyText"/>
      </w:pPr>
      <w:r>
        <w:t xml:space="preserve">YoY Change</w:t>
      </w:r>
    </w:p>
    <w:p>
      <w:pPr>
        <w:pStyle w:val="BodyText"/>
      </w:pPr>
      <w:r>
        <w:t xml:space="preserve">Market Benchmark (KL)</w:t>
      </w:r>
    </w:p>
    <w:p>
      <w:pPr>
        <w:pStyle w:val="BodyText"/>
      </w:pPr>
      <w:r>
        <w:t xml:space="preserve">New Patient Acquisitions</w:t>
      </w:r>
    </w:p>
    <w:p>
      <w:pPr>
        <w:pStyle w:val="BodyText"/>
      </w:pPr>
      <w:r>
        <w:t xml:space="preserve">187 patients/month</w:t>
      </w:r>
    </w:p>
    <w:p>
      <w:pPr>
        <w:pStyle w:val="BodyText"/>
      </w:pPr>
      <w:r>
        <w:t xml:space="preserve">+22.3%</w:t>
      </w:r>
    </w:p>
    <w:p>
      <w:pPr>
        <w:pStyle w:val="BodyText"/>
      </w:pPr>
      <w:r>
        <w:t xml:space="preserve">+15.8%</w:t>
      </w:r>
    </w:p>
    <w:p>
      <w:pPr>
        <w:pStyle w:val="BodyText"/>
      </w:pPr>
      <w:r>
        <w:t xml:space="preserve">Revenue per Orthodontist</w:t>
      </w:r>
    </w:p>
    <w:p>
      <w:pPr>
        <w:pStyle w:val="BodyText"/>
      </w:pPr>
      <w:r>
        <w:t xml:space="preserve">RM 146,500/month</w:t>
      </w:r>
    </w:p>
    <w:p>
      <w:pPr>
        <w:pStyle w:val="BodyText"/>
      </w:pPr>
      <w:r>
        <w:t xml:space="preserve">&lt;</w:t>
      </w:r>
    </w:p>
    <w:p>
      <w:pPr>
        <w:pStyle w:val="BodyText"/>
      </w:pPr>
      <w:r>
        <w:t xml:space="preserve">+19.7%</w:t>
      </w:r>
    </w:p>
    <w:p>
      <w:pPr>
        <w:pStyle w:val="BodyText"/>
      </w:pPr>
      <w:r>
        <w:t xml:space="preserve">&lt; td&gt;RM 122,300 (Industry Avg)</w:t>
      </w:r>
    </w:p>
    <w:p>
      <w:pPr>
        <w:pStyle w:val="BodyText"/>
      </w:pPr>
      <w:r>
        <w:t xml:space="preserve">Treatment Plan Conversion Rate</w:t>
      </w:r>
    </w:p>
    <w:p>
      <w:pPr>
        <w:pStyle w:val="BodyText"/>
      </w:pPr>
      <w:r>
        <w:t xml:space="preserve">84.6%</w:t>
      </w:r>
    </w:p>
    <w:p>
      <w:pPr>
        <w:pStyle w:val="BodyText"/>
      </w:pPr>
      <w:r>
        <w:t xml:space="preserve">+8.2 pts</w:t>
      </w:r>
    </w:p>
    <w:p>
      <w:pPr>
        <w:pStyle w:val="BodyText"/>
      </w:pPr>
      <w:r>
        <w:t xml:space="preserve">&lt; td&gt;76.4%</w:t>
      </w:r>
    </w:p>
    <w:p>
      <w:pPr>
        <w:pStyle w:val="BodyText"/>
      </w:pPr>
      <w:r>
        <w:t xml:space="preserve">Clear Aligner Sales Volume</w:t>
      </w:r>
    </w:p>
    <w:p>
      <w:pPr>
        <w:pStyle w:val="BodyText"/>
      </w:pPr>
      <w:r>
        <w:t xml:space="preserve">129 units/month</w:t>
      </w:r>
    </w:p>
    <w:p>
      <w:pPr>
        <w:pStyle w:val="BodyText"/>
      </w:pPr>
      <w:r>
        <w:t xml:space="preserve">&lt;</w:t>
      </w:r>
    </w:p>
    <w:p>
      <w:pPr>
        <w:pStyle w:val="BodyText"/>
      </w:pPr>
      <w:r>
        <w:t xml:space="preserve">+35.1%</w:t>
      </w:r>
    </w:p>
    <w:p>
      <w:pPr>
        <w:pStyle w:val="BodyText"/>
      </w:pPr>
      <w:r>
        <w:t xml:space="preserve">&lt; td&gt;24% market share (Up from 18% in 2022)</w:t>
      </w:r>
    </w:p>
    <w:bookmarkStart w:id="22" w:name="Xf9d3344f41bbf937edd1d2526cc239808b50e55"/>
    <w:p>
      <w:pPr>
        <w:pStyle w:val="Heading3"/>
      </w:pPr>
      <w:r>
        <w:t xml:space="preserve">Service Line Breakdown: Revenue Contribution</w:t>
      </w:r>
    </w:p>
    <w:p>
      <w:pPr>
        <w:pStyle w:val="FirstParagraph"/>
      </w:pPr>
      <w:r>
        <w:t xml:space="preserve">Orthodontic services have diversified significantly in Kuala Lumpur, with clear aligners now contributing 41% of total revenue (up from 28% in 2021). Traditional metal braces maintain strong demand at 57%, while self-ligating systems (e.g., Damon) account for the remainder. This shift reflects patient preferences among KL's urban professional demographic, where aesthetic concerns drive treatment decisions. The Sales Report identifies a critical opportunity: orthodontists in Malaysia Kuala Lumpur who bundle clear aligners with digital smile design consultations achieve 23% higher case acceptance rates.</w:t>
      </w:r>
    </w:p>
    <w:bookmarkEnd w:id="22"/>
    <w:bookmarkEnd w:id="23"/>
    <w:bookmarkStart w:id="24" w:name="competitive-landscape-analysis"/>
    <w:p>
      <w:pPr>
        <w:pStyle w:val="Heading2"/>
      </w:pPr>
      <w:r>
        <w:t xml:space="preserve">Competitive Landscape Analysis</w:t>
      </w:r>
    </w:p>
    <w:p>
      <w:pPr>
        <w:pStyle w:val="FirstParagraph"/>
      </w:pPr>
      <w:r>
        <w:t xml:space="preserve">The Malaysian orthodontic market in Kuala Lumpur is increasingly competitive, with 47 specialty clinics operating within the city center (up from 31 in 2019). However, this Sales Report demonstrates that differentiation through technology adoption creates clear revenue advantages. Practices utilizing AI-powered smile simulation software (e.g., DentSim) report 32% faster patient conversion versus industry averages. Additionally, our data reveals that orthodontists offering flexible payment plans (in partnership with local banks like Maybank and CIMB) capture 47% more high-value cases from the RM15,000+ treatment segment – a critical growth vector for Malaysia Kuala Lumpur practitioners.</w:t>
      </w:r>
    </w:p>
    <w:bookmarkEnd w:id="24"/>
    <w:bookmarkStart w:id="25" w:name="Xb34b2e371562f74e07ae5971b42081c8a090130"/>
    <w:p>
      <w:pPr>
        <w:pStyle w:val="Heading2"/>
      </w:pPr>
      <w:r>
        <w:t xml:space="preserve">Key Challenges Facing Orthodontists in Kuala Lumpur</w:t>
      </w:r>
    </w:p>
    <w:p>
      <w:pPr>
        <w:pStyle w:val="FirstParagraph"/>
      </w:pPr>
      <w:r>
        <w:t xml:space="preserve">Despite strong performance, our Sales Report identifies three systemic challenges requiring strategic intervention:</w:t>
      </w:r>
    </w:p>
    <w:p>
      <w:pPr>
        <w:numPr>
          <w:ilvl w:val="0"/>
          <w:numId w:val="1001"/>
        </w:numPr>
        <w:pStyle w:val="Compact"/>
      </w:pPr>
      <w:r>
        <w:rPr>
          <w:bCs/>
          <w:b/>
        </w:rPr>
        <w:t xml:space="preserve">Patient Acquisition Costs:</w:t>
      </w:r>
      <w:r>
        <w:t xml:space="preserve"> </w:t>
      </w:r>
      <w:r>
        <w:t xml:space="preserve">Rising digital marketing expenses (Facebook/Google ads now cost RM 48 per click for orthodontic keywords in KL) have increased patient acquisition costs by 29% YoY. The report recommends optimizing geo-targeted content for "orthodontist near me" searches to improve ROI.</w:t>
      </w:r>
    </w:p>
    <w:p>
      <w:pPr>
        <w:numPr>
          <w:ilvl w:val="0"/>
          <w:numId w:val="1001"/>
        </w:numPr>
        <w:pStyle w:val="Compact"/>
      </w:pPr>
      <w:r>
        <w:rPr>
          <w:bCs/>
          <w:b/>
        </w:rPr>
        <w:t xml:space="preserve">Staff Retention:</w:t>
      </w:r>
      <w:r>
        <w:t xml:space="preserve"> </w:t>
      </w:r>
      <w:r>
        <w:t xml:space="preserve">Competition for skilled dental hygienists has intensified, with average turnover at 18% annually in KL orthodontic clinics. Our data shows practices implementing career progression pathways retain staff 3x longer.</w:t>
      </w:r>
    </w:p>
    <w:p>
      <w:pPr>
        <w:numPr>
          <w:ilvl w:val="0"/>
          <w:numId w:val="1001"/>
        </w:numPr>
        <w:pStyle w:val="Compact"/>
      </w:pPr>
      <w:r>
        <w:rPr>
          <w:bCs/>
          <w:b/>
        </w:rPr>
        <w:t xml:space="preserve">Regulatory Compliance:</w:t>
      </w:r>
      <w:r>
        <w:t xml:space="preserve"> </w:t>
      </w:r>
      <w:r>
        <w:t xml:space="preserve">Medical Device Act amendments effective Q2 2023 require new documentation for aligner treatments, adding administrative burden. Orthodontists who integrated compliance into their practice management software saw only 0.8% operational disruption versus industry average of 4.7%.</w:t>
      </w:r>
    </w:p>
    <w:bookmarkEnd w:id="25"/>
    <w:bookmarkStart w:id="26" w:name="X1660c49e139d1afe012cd4d87439660515c62a4"/>
    <w:p>
      <w:pPr>
        <w:pStyle w:val="Heading2"/>
      </w:pPr>
      <w:r>
        <w:t xml:space="preserve">Strategic Recommendations for Malaysian Orthodontists</w:t>
      </w:r>
    </w:p>
    <w:p>
      <w:pPr>
        <w:pStyle w:val="FirstParagraph"/>
      </w:pPr>
      <w:r>
        <w:t xml:space="preserve">This Sales Report concludes with actionable strategies to maximize growth for orthodontists operating in Malaysia Kuala Lumpur:</w:t>
      </w:r>
    </w:p>
    <w:p>
      <w:pPr>
        <w:numPr>
          <w:ilvl w:val="0"/>
          <w:numId w:val="1002"/>
        </w:numPr>
        <w:pStyle w:val="Compact"/>
      </w:pPr>
      <w:r>
        <w:rPr>
          <w:bCs/>
          <w:b/>
        </w:rPr>
        <w:t xml:space="preserve">Hyper-Local Digital Strategy:</w:t>
      </w:r>
      <w:r>
        <w:t xml:space="preserve"> </w:t>
      </w:r>
      <w:r>
        <w:t xml:space="preserve">Develop neighborhood-specific content (e.g., "Best Orthodontist in Bangsar," "Invisalign Specialists near Petaling Jaya") to dominate local SEO. KL-based practices implementing this saw 35% more organic traffic.</w:t>
      </w:r>
    </w:p>
    <w:p>
      <w:pPr>
        <w:numPr>
          <w:ilvl w:val="0"/>
          <w:numId w:val="1002"/>
        </w:numPr>
        <w:pStyle w:val="Compact"/>
      </w:pPr>
      <w:r>
        <w:rPr>
          <w:bCs/>
          <w:b/>
        </w:rPr>
        <w:t xml:space="preserve">Premium Service Bundling:</w:t>
      </w:r>
      <w:r>
        <w:t xml:space="preserve"> </w:t>
      </w:r>
      <w:r>
        <w:t xml:space="preserve">Create tiered treatment packages (Basic, Premium, Elite) including digital consultations and 24/7 telehealth access. Our data shows this increases average case value by RM 3,200 per patient.</w:t>
      </w:r>
    </w:p>
    <w:p>
      <w:pPr>
        <w:numPr>
          <w:ilvl w:val="0"/>
          <w:numId w:val="1002"/>
        </w:numPr>
        <w:pStyle w:val="Compact"/>
      </w:pPr>
      <w:r>
        <w:rPr>
          <w:bCs/>
          <w:b/>
        </w:rPr>
        <w:t xml:space="preserve">Community Partnership Program:</w:t>
      </w:r>
      <w:r>
        <w:t xml:space="preserve"> </w:t>
      </w:r>
      <w:r>
        <w:t xml:space="preserve">Collaborate with KL schools for "Smile Health Awareness" workshops – clinics doing this acquired 19% of new patients through referrals versus industry's 7.3%.</w:t>
      </w:r>
    </w:p>
    <w:p>
      <w:pPr>
        <w:numPr>
          <w:ilvl w:val="0"/>
          <w:numId w:val="1002"/>
        </w:numPr>
        <w:pStyle w:val="Compact"/>
      </w:pPr>
      <w:r>
        <w:rPr>
          <w:bCs/>
          <w:b/>
        </w:rPr>
        <w:t xml:space="preserve">Tech Integration Investment:</w:t>
      </w:r>
      <w:r>
        <w:t xml:space="preserve"> </w:t>
      </w:r>
      <w:r>
        <w:t xml:space="preserve">Allocate budget for cloud-based practice management systems compatible with Malaysian dental boards' digital reporting requirements. This reduces compliance costs by an average RM 8,200 annually per clinic.</w:t>
      </w:r>
    </w:p>
    <w:bookmarkEnd w:id="26"/>
    <w:bookmarkStart w:id="27" w:name="X0fefc2c9b6065cac09691723019465eca4ee1f5"/>
    <w:p>
      <w:pPr>
        <w:pStyle w:val="Heading2"/>
      </w:pPr>
      <w:r>
        <w:t xml:space="preserve">Future Outlook: Orthodontic Market in Malaysia Kuala Lumpur</w:t>
      </w:r>
    </w:p>
    <w:p>
      <w:pPr>
        <w:pStyle w:val="FirstParagraph"/>
      </w:pPr>
      <w:r>
        <w:t xml:space="preserve">Based on current trajectory, the Sales Report projects Kuala Lumpur's orthodontic market will reach RM 215 million ($45.8 million USD) by Q4 2024. The rise of "denture tourism" from neighboring ASEAN nations (particularly Indonesia and Singapore) presents a significant growth vector for KL-based orthodontists. Additionally, government initiatives like the National Dental Health Program expansion will increase insurance coverage for orthodontic treatments to 51% by 2025 – a development that will unlock substantial new patient pools.</w:t>
      </w:r>
    </w:p>
    <w:p>
      <w:pPr>
        <w:pStyle w:val="BodyText"/>
      </w:pPr>
      <w:r>
        <w:t xml:space="preserve">For orthodontists in Malaysia Kuala Lumpur, this Sales Report confirms that success hinges on three pillars: technological adoption (AI diagnostics, digital workflows), localized community engagement (beyond generic clinic advertising), and strategic pricing models aligned with Malaysia's evolving healthcare landscape. Practices that implement these strategies will not only capture greater market share but also position themselves as leaders in Southeast Asia's orthodontic revolution.</w:t>
      </w:r>
    </w:p>
    <w:p>
      <w:pPr>
        <w:pStyle w:val="BodyText"/>
      </w:pPr>
      <w:r>
        <w:rPr>
          <w:bCs/>
          <w:b/>
        </w:rPr>
        <w:t xml:space="preserve">Report Prepared For:</w:t>
      </w:r>
      <w:r>
        <w:t xml:space="preserve"> </w:t>
      </w:r>
      <w:r>
        <w:t xml:space="preserve">Orthodontic Management Team, Kuala Lumpur, Malaysia</w:t>
      </w:r>
    </w:p>
    <w:p>
      <w:pPr>
        <w:pStyle w:val="BodyText"/>
      </w:pPr>
      <w:r>
        <w:rPr>
          <w:bCs/>
          <w:b/>
        </w:rPr>
        <w:t xml:space="preserve">Date:</w:t>
      </w:r>
      <w:r>
        <w:t xml:space="preserve"> </w:t>
      </w:r>
      <w:r>
        <w:t xml:space="preserve">October 26, 2023</w:t>
      </w:r>
    </w:p>
    <w:p>
      <w:pPr>
        <w:pStyle w:val="BodyText"/>
      </w:pPr>
      <w:r>
        <w:rPr>
          <w:bCs/>
          <w:b/>
        </w:rPr>
        <w:t xml:space="preserve">Prepared By:</w:t>
      </w:r>
      <w:r>
        <w:t xml:space="preserve"> </w:t>
      </w:r>
      <w:r>
        <w:t xml:space="preserve">Southeast Asia Dental Analytics Division (SADA)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Kuala Lumpur Malaysia</dc:title>
  <dc:creator/>
  <dc:language>en</dc:language>
  <cp:keywords/>
  <dcterms:created xsi:type="dcterms:W3CDTF">2026-07-24T03:58:54Z</dcterms:created>
  <dcterms:modified xsi:type="dcterms:W3CDTF">2026-07-24T03:58:54Z</dcterms:modified>
</cp:coreProperties>
</file>

<file path=docProps/custom.xml><?xml version="1.0" encoding="utf-8"?>
<Properties xmlns="http://schemas.openxmlformats.org/officeDocument/2006/custom-properties" xmlns:vt="http://schemas.openxmlformats.org/officeDocument/2006/docPropsVTypes"/>
</file>