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Mexico</w:t>
      </w:r>
      <w:r>
        <w:t xml:space="preserve"> </w:t>
      </w:r>
      <w:r>
        <w:t xml:space="preserve">City</w:t>
      </w:r>
      <w:r>
        <w:t xml:space="preserve"> </w:t>
      </w:r>
      <w:r>
        <w:t xml:space="preserve">Market</w:t>
      </w:r>
    </w:p>
    <w:bookmarkStart w:id="29" w:name="X781a03fb932c83bb8dec3c049d4b1dc84e3606f"/>
    <w:p>
      <w:pPr>
        <w:pStyle w:val="Heading1"/>
      </w:pPr>
      <w:r>
        <w:t xml:space="preserve">ORTHODONTIC SALES PERFORMANCE REPORT</w:t>
      </w:r>
      <w:r>
        <w:br/>
      </w:r>
      <w:r>
        <w:t xml:space="preserve">FOR MEXICO CITY MARKET - Q3 2023</w:t>
      </w:r>
    </w:p>
    <w:bookmarkStart w:id="20" w:name="executive-summary"/>
    <w:p>
      <w:pPr>
        <w:pStyle w:val="Heading2"/>
      </w:pPr>
      <w:r>
        <w:t xml:space="preserve">Executive Summary</w:t>
      </w:r>
    </w:p>
    <w:p>
      <w:pPr>
        <w:pStyle w:val="FirstParagraph"/>
      </w:pPr>
      <w:r>
        <w:t xml:space="preserve">This comprehensive Sales Report details the performance of orthodontic services across our network of practices in Mexico City during the third quarter of 2023. The report confirms that demand for high-quality orthodontic care continues to surge in Mexico City's urban population, driven by rising disposable incomes, increased dental insurance coverage, and growing aesthetic consciousness among professionals and students. Our orthodontist practices demonstrated exceptional growth with a 24% year-over-year increase in new patient acquisitions and a 17% revenue uplift compared to Q3 2022. The Mexico City market remains the most profitable segment in our nationwide portfolio, contributing over 42% of total company revenue.</w:t>
      </w:r>
    </w:p>
    <w:p>
      <w:pPr>
        <w:pStyle w:val="BodyText"/>
      </w:pPr>
      <w:r>
        <w:t xml:space="preserve">Key success factors included strategic expansion into high-demand neighborhoods like Polanco, Condesa, and Roma Norte, implementation of digital consultation platforms tailored to Mexican consumers' mobile preferences, and partnerships with leading dental insurance providers across Mexico. This Sales Report underscores the critical importance of localized marketing strategies for orthodontic practices operating within Mexico City's complex socioeconomic landscape.</w:t>
      </w:r>
    </w:p>
    <w:bookmarkEnd w:id="20"/>
    <w:bookmarkStart w:id="21" w:name="sales-performance-overview"/>
    <w:p>
      <w:pPr>
        <w:pStyle w:val="Heading2"/>
      </w:pPr>
      <w:r>
        <w:t xml:space="preserve">Sales Performance Overview</w:t>
      </w:r>
    </w:p>
    <w:p>
      <w:pPr>
        <w:pStyle w:val="FirstParagraph"/>
      </w:pPr>
      <w:r>
        <w:t xml:space="preserve">The orthodontic market in Mexico City has evolved significantly since 2019, with the premium segment (clear aligners and ceramic braces) experiencing exponential growth. Our Q3 2023 data reveals:</w:t>
      </w:r>
    </w:p>
    <w:p>
      <w:pPr>
        <w:pStyle w:val="BodyText"/>
      </w:pPr>
      <w:r>
        <w:t xml:space="preserve">Service Type</w:t>
      </w:r>
    </w:p>
    <w:bookmarkEnd w:id="21"/>
    <w:p>
      <w:pPr>
        <w:pStyle w:val="BodyText"/>
      </w:pPr>
      <w:r>
        <w:t xml:space="preserve">Q3 2022 Units</w:t>
      </w:r>
    </w:p>
    <w:p>
      <w:pPr>
        <w:pStyle w:val="BodyText"/>
      </w:pPr>
      <w:r>
        <w:t xml:space="preserve">Q3 2023 Units</w:t>
      </w:r>
    </w:p>
    <w:p>
      <w:pPr>
        <w:pStyle w:val="BodyText"/>
      </w:pPr>
      <w:r>
        <w:t xml:space="preserve">% Change</w:t>
      </w:r>
    </w:p>
    <w:p>
      <w:pPr>
        <w:pStyle w:val="BodyText"/>
      </w:pPr>
      <w:r>
        <w:t xml:space="preserve">Avg. Revenue per Patient (MXN)</w:t>
      </w:r>
    </w:p>
    <w:p>
      <w:pPr>
        <w:pStyle w:val="BodyText"/>
      </w:pPr>
      <w:r>
        <w:t xml:space="preserve">Traditional Metal Braces</w:t>
      </w:r>
    </w:p>
    <w:p>
      <w:pPr>
        <w:pStyle w:val="BodyText"/>
      </w:pPr>
      <w:r>
        <w:t xml:space="preserve">1,850</w:t>
      </w:r>
    </w:p>
    <w:p>
      <w:pPr>
        <w:pStyle w:val="BodyText"/>
      </w:pPr>
      <w:r>
        <w:t xml:space="preserve">2,035</w:t>
      </w:r>
    </w:p>
    <w:p>
      <w:pPr>
        <w:pStyle w:val="BodyText"/>
      </w:pPr>
      <w:r>
        <w:t xml:space="preserve">+10.0%</w:t>
      </w:r>
    </w:p>
    <w:p>
      <w:pPr>
        <w:pStyle w:val="BodyText"/>
      </w:pPr>
      <w:r>
        <w:t xml:space="preserve">$24,500</w:t>
      </w:r>
    </w:p>
    <w:p>
      <w:pPr>
        <w:pStyle w:val="BodyText"/>
      </w:pPr>
      <w:r>
        <w:t xml:space="preserve">Ceramic Braces (Tooth-Colored)</w:t>
      </w:r>
    </w:p>
    <w:p>
      <w:pPr>
        <w:pStyle w:val="BodyText"/>
      </w:pPr>
      <w:r>
        <w:t xml:space="preserve">925</w:t>
      </w:r>
    </w:p>
    <w:p>
      <w:pPr>
        <w:pStyle w:val="BodyText"/>
      </w:pPr>
      <w:r>
        <w:t xml:space="preserve">1,387</w:t>
      </w:r>
    </w:p>
    <w:p>
      <w:pPr>
        <w:pStyle w:val="BodyText"/>
      </w:pPr>
      <w:r>
        <w:t xml:space="preserve">+50.0%</w:t>
      </w:r>
    </w:p>
    <w:p>
      <w:pPr>
        <w:pStyle w:val="BodyText"/>
      </w:pPr>
      <w:r>
        <w:t xml:space="preserve">Total Orthodontic Cases</w:t>
      </w:r>
    </w:p>
    <w:p>
      <w:pPr>
        <w:pStyle w:val="BodyText"/>
      </w:pPr>
      <w:r>
        <w:t xml:space="preserve">2,775</w:t>
      </w:r>
    </w:p>
    <w:p>
      <w:pPr>
        <w:pStyle w:val="BodyText"/>
      </w:pPr>
      <w:r>
        <w:t xml:space="preserve">3,422</w:t>
      </w:r>
    </w:p>
    <w:p>
      <w:pPr>
        <w:pStyle w:val="BodyText"/>
      </w:pPr>
      <w:r>
        <w:t xml:space="preserve">+23.3%</w:t>
      </w:r>
    </w:p>
    <w:p>
      <w:pPr>
        <w:pStyle w:val="BodyText"/>
      </w:pPr>
      <w:r>
        <w:t xml:space="preserve">$18,900 (avg)</w:t>
      </w:r>
    </w:p>
    <w:p>
      <w:pPr>
        <w:pStyle w:val="BodyText"/>
      </w:pPr>
      <w:r>
        <w:t xml:space="preserve">Clear Aligners (Invisalign, SmileDirectClub)</w:t>
      </w:r>
    </w:p>
    <w:p>
      <w:pPr>
        <w:pStyle w:val="BodyText"/>
      </w:pPr>
      <w:r>
        <w:t xml:space="preserve">450</w:t>
      </w:r>
    </w:p>
    <w:p>
      <w:pPr>
        <w:pStyle w:val="BodyText"/>
      </w:pPr>
      <w:r>
        <w:t xml:space="preserve">1,520</w:t>
      </w:r>
    </w:p>
    <w:p>
      <w:pPr>
        <w:pStyle w:val="BodyText"/>
      </w:pPr>
      <w:r>
        <w:t xml:space="preserve">+237.8%</w:t>
      </w:r>
    </w:p>
    <w:p>
      <w:pPr>
        <w:pStyle w:val="BodyText"/>
      </w:pPr>
      <w:r>
        <w:t xml:space="preserve">The 237.8% growth in clear aligner cases exemplifies the shifting consumer preference in Mexico City's urban centers, where professionals and millennials prioritize aesthetics during treatment. Our orthodontist teams have successfully leveraged this trend by training specialists in digital smile design software compatible with local patient expectations.</w:t>
      </w:r>
    </w:p>
    <w:bookmarkStart w:id="22" w:name="market-analysis-mexico-city-dynamics"/>
    <w:p>
      <w:pPr>
        <w:pStyle w:val="Heading2"/>
      </w:pPr>
      <w:r>
        <w:t xml:space="preserve">Market Analysis: Mexico City Dynamics</w:t>
      </w:r>
    </w:p>
    <w:p>
      <w:pPr>
        <w:pStyle w:val="FirstParagraph"/>
      </w:pPr>
      <w:r>
        <w:t xml:space="preserve">Mexico City's unique market characteristics directly influence orthodontic sales performance. As the most populous metropolitan area in North America (with over 21 million residents), Mexico City presents both opportunities and challenges:</w:t>
      </w:r>
    </w:p>
    <w:p>
      <w:pPr>
        <w:numPr>
          <w:ilvl w:val="0"/>
          <w:numId w:val="1001"/>
        </w:numPr>
        <w:pStyle w:val="Compact"/>
      </w:pPr>
      <w:r>
        <w:rPr>
          <w:bCs/>
          <w:b/>
        </w:rPr>
        <w:t xml:space="preserve">Demographic Shifts</w:t>
      </w:r>
      <w:r>
        <w:t xml:space="preserve">: 68% of our new patients are aged 15-34, driven by increased dental tourism from neighboring states and the presence of universities like UNAM and ITESM. This cohort actively seeks social media-influenced orthodontic solutions.</w:t>
      </w:r>
    </w:p>
    <w:p>
      <w:pPr>
        <w:numPr>
          <w:ilvl w:val="0"/>
          <w:numId w:val="1001"/>
        </w:numPr>
        <w:pStyle w:val="Compact"/>
      </w:pPr>
      <w:r>
        <w:rPr>
          <w:bCs/>
          <w:b/>
        </w:rPr>
        <w:t xml:space="preserve">Insurance Penetration</w:t>
      </w:r>
      <w:r>
        <w:t xml:space="preserve">: Partnerships with insurance providers (Seguros Banamex, Mapfre) now cover 37% of new cases in Mexico City—up from 22% in 2021—significantly reducing treatment barriers.</w:t>
      </w:r>
    </w:p>
    <w:p>
      <w:pPr>
        <w:numPr>
          <w:ilvl w:val="0"/>
          <w:numId w:val="1001"/>
        </w:numPr>
        <w:pStyle w:val="Compact"/>
      </w:pPr>
      <w:r>
        <w:rPr>
          <w:bCs/>
          <w:b/>
        </w:rPr>
        <w:t xml:space="preserve">Competitive Landscape</w:t>
      </w:r>
      <w:r>
        <w:t xml:space="preserve">: While established chains like Dentsply Sirona dominate, our specialized orthodontist practices differentiate through personalized care. Only 15% of Mexico City residents access orthodontic services due to high costs; we've addressed this via payment plans (72% of patients use financing).</w:t>
      </w:r>
    </w:p>
    <w:p>
      <w:pPr>
        <w:numPr>
          <w:ilvl w:val="0"/>
          <w:numId w:val="1001"/>
        </w:numPr>
        <w:pStyle w:val="Compact"/>
      </w:pPr>
      <w:r>
        <w:rPr>
          <w:bCs/>
          <w:b/>
        </w:rPr>
        <w:t xml:space="preserve">Local Consumer Behavior</w:t>
      </w:r>
      <w:r>
        <w:t xml:space="preserve">: Mexican patients prioritize "doctor-patient relationship" over price—our practices report 89% satisfaction in post-treatment surveys, directly impacting referral rates.</w:t>
      </w:r>
    </w:p>
    <w:p>
      <w:pPr>
        <w:pStyle w:val="FirstParagraph"/>
      </w:pPr>
      <w:r>
        <w:t xml:space="preserve">A critical insight from this Sales Report: Mexico City consumers equate orthodontic treatment with quality of life improvements. This mindset drives higher willingness to pay for premium services, allowing our orthodontist teams to implement value-based pricing rather than competing on price alone.</w:t>
      </w:r>
    </w:p>
    <w:bookmarkEnd w:id="22"/>
    <w:bookmarkStart w:id="26" w:name="strategic-initiatives-growth-drivers"/>
    <w:p>
      <w:pPr>
        <w:pStyle w:val="Heading2"/>
      </w:pPr>
      <w:r>
        <w:t xml:space="preserve">Strategic Initiatives &amp; Growth Drivers</w:t>
      </w:r>
    </w:p>
    <w:p>
      <w:pPr>
        <w:pStyle w:val="FirstParagraph"/>
      </w:pPr>
      <w:r>
        <w:t xml:space="preserve">Our sales growth in Mexico City stems from three pillars:</w:t>
      </w:r>
    </w:p>
    <w:bookmarkStart w:id="23" w:name="hyper-local-marketing-campaigns"/>
    <w:p>
      <w:pPr>
        <w:pStyle w:val="Heading3"/>
      </w:pPr>
      <w:r>
        <w:t xml:space="preserve">1. Hyper-Local Marketing Campaigns</w:t>
      </w:r>
    </w:p>
    <w:p>
      <w:pPr>
        <w:pStyle w:val="FirstParagraph"/>
      </w:pPr>
      <w:r>
        <w:t xml:space="preserve">We developed targeted campaigns using Mexican cultural touchpoints. For example, during "Día de Muertos," we partnered with local artists for "Smile Preservation" events at historic sites like Xochimilco, generating 420 new leads in one weekend. Social media (particularly WhatsApp and Instagram) drives 68% of appointments—reflecting Mexico City's digital adoption patterns.</w:t>
      </w:r>
    </w:p>
    <w:bookmarkEnd w:id="23"/>
    <w:bookmarkStart w:id="24" w:name="orthodontist-partnership-expansion"/>
    <w:p>
      <w:pPr>
        <w:pStyle w:val="Heading3"/>
      </w:pPr>
      <w:r>
        <w:t xml:space="preserve">2. Orthodontist Partnership Expansion</w:t>
      </w:r>
    </w:p>
    <w:p>
      <w:pPr>
        <w:pStyle w:val="FirstParagraph"/>
      </w:pPr>
      <w:r>
        <w:t xml:space="preserve">We onboarded 17 new orthodontist specialists in Q3, focusing on underserved areas like Iztapalapa and Tlalpan. Each specialist received localized training on Mexico City's unique dental needs (e.g., high sugar consumption impacts requiring preventive follow-ups).</w:t>
      </w:r>
    </w:p>
    <w:bookmarkEnd w:id="24"/>
    <w:bookmarkStart w:id="25" w:name="technology-integration"/>
    <w:p>
      <w:pPr>
        <w:pStyle w:val="Heading3"/>
      </w:pPr>
      <w:r>
        <w:t xml:space="preserve">3. Technology Integration</w:t>
      </w:r>
    </w:p>
    <w:p>
      <w:pPr>
        <w:pStyle w:val="FirstParagraph"/>
      </w:pPr>
      <w:r>
        <w:t xml:space="preserve">The implementation of our "Mi Sonrisa Digital" platform—featuring 3D smile simulations in Mexican Spanish—increased conversion rates by 29%. Patients can now schedule virtual consultations via mobile, a critical factor given Mexico City's traffic challenges.</w:t>
      </w:r>
    </w:p>
    <w:bookmarkEnd w:id="25"/>
    <w:bookmarkEnd w:id="26"/>
    <w:bookmarkStart w:id="27" w:name="challenges-mitigation-strategies"/>
    <w:p>
      <w:pPr>
        <w:pStyle w:val="Heading2"/>
      </w:pPr>
      <w:r>
        <w:t xml:space="preserve">Challenges &amp; Mitigation Strategies</w:t>
      </w:r>
    </w:p>
    <w:p>
      <w:pPr>
        <w:pStyle w:val="FirstParagraph"/>
      </w:pPr>
      <w:r>
        <w:t xml:space="preserve">Despite strong results, this Sales Report identifies key obstacles specific to Mexico City operations:</w:t>
      </w:r>
    </w:p>
    <w:p>
      <w:pPr>
        <w:numPr>
          <w:ilvl w:val="0"/>
          <w:numId w:val="1002"/>
        </w:numPr>
        <w:pStyle w:val="Compact"/>
      </w:pPr>
      <w:r>
        <w:rPr>
          <w:bCs/>
          <w:b/>
        </w:rPr>
        <w:t xml:space="preserve">Supply Chain Delays</w:t>
      </w:r>
      <w:r>
        <w:t xml:space="preserve">: 35% of clear aligner cases faced 4-6 week delays due to import regulations. Solution: We've established a local inventory hub in Naucalpan, reducing wait times by 70%.</w:t>
      </w:r>
    </w:p>
    <w:p>
      <w:pPr>
        <w:numPr>
          <w:ilvl w:val="0"/>
          <w:numId w:val="1002"/>
        </w:numPr>
        <w:pStyle w:val="Compact"/>
      </w:pPr>
      <w:r>
        <w:rPr>
          <w:bCs/>
          <w:b/>
        </w:rPr>
        <w:t xml:space="preserve">Price Sensitivity</w:t>
      </w:r>
      <w:r>
        <w:t xml:space="preserve">: While premium services grow, lower-income segments (32% of Mexico City population) remain underserved. Solution: Launched "Smile Access" program with micro-loans through Banco del Ahorro popular.</w:t>
      </w:r>
    </w:p>
    <w:p>
      <w:pPr>
        <w:numPr>
          <w:ilvl w:val="0"/>
          <w:numId w:val="1002"/>
        </w:numPr>
        <w:pStyle w:val="Compact"/>
      </w:pPr>
      <w:r>
        <w:rPr>
          <w:bCs/>
          <w:b/>
        </w:rPr>
        <w:t xml:space="preserve">Talent Retention</w:t>
      </w:r>
      <w:r>
        <w:t xml:space="preserve">: Orthodontist shortages in Mexico City increased competition for specialists. Solution: Implemented professional development stipends and flexible scheduling—reducing attrition by 22%.</w:t>
      </w:r>
    </w:p>
    <w:p>
      <w:pPr>
        <w:pStyle w:val="FirstParagraph"/>
      </w:pPr>
      <w:r>
        <w:t xml:space="preserve">These challenges are being actively addressed through our Mexico City market-specific protocols, ensuring sustainable growth beyond short-term sales spikes.</w:t>
      </w:r>
    </w:p>
    <w:bookmarkEnd w:id="27"/>
    <w:bookmarkStart w:id="28" w:name="future-outlook-recommendations"/>
    <w:p>
      <w:pPr>
        <w:pStyle w:val="Heading2"/>
      </w:pPr>
      <w:r>
        <w:t xml:space="preserve">Future Outlook &amp; Recommendations</w:t>
      </w:r>
    </w:p>
    <w:p>
      <w:pPr>
        <w:pStyle w:val="FirstParagraph"/>
      </w:pPr>
      <w:r>
        <w:t xml:space="preserve">This Sales Report forecasts continued expansion in the Mexico City orthodontic sector. Based on current momentum, we project 30-35% annual growth through 2024 with these strategic priorities:</w:t>
      </w:r>
    </w:p>
    <w:p>
      <w:pPr>
        <w:numPr>
          <w:ilvl w:val="0"/>
          <w:numId w:val="1003"/>
        </w:numPr>
        <w:pStyle w:val="Compact"/>
      </w:pPr>
      <w:r>
        <w:rPr>
          <w:bCs/>
          <w:b/>
        </w:rPr>
        <w:t xml:space="preserve">Expand Premium Services</w:t>
      </w:r>
      <w:r>
        <w:t xml:space="preserve">: Allocate resources to develop a "VIP Orthodontist" tier for high-net-worth Mexico City clients, focusing on expedited treatment and luxury branding.</w:t>
      </w:r>
    </w:p>
    <w:p>
      <w:pPr>
        <w:numPr>
          <w:ilvl w:val="0"/>
          <w:numId w:val="1003"/>
        </w:numPr>
        <w:pStyle w:val="Compact"/>
      </w:pPr>
      <w:r>
        <w:rPr>
          <w:bCs/>
          <w:b/>
        </w:rPr>
        <w:t xml:space="preserve">Enhance Digital Infrastructure</w:t>
      </w:r>
      <w:r>
        <w:t xml:space="preserve">: Launch AI-powered chatbot for appointment management in Mexican Spanish, targeting 50% of new leads by Q2 2024.</w:t>
      </w:r>
    </w:p>
    <w:p>
      <w:pPr>
        <w:numPr>
          <w:ilvl w:val="0"/>
          <w:numId w:val="1003"/>
        </w:numPr>
        <w:pStyle w:val="Compact"/>
      </w:pPr>
      <w:r>
        <w:rPr>
          <w:bCs/>
          <w:b/>
        </w:rPr>
        <w:t xml:space="preserve">Community Health Partnerships</w:t>
      </w:r>
      <w:r>
        <w:t xml:space="preserve">: Collaborate with Mexico City's Secretaría de Salud on school-based orthodontic screening programs to capture early patient acquisition.</w:t>
      </w:r>
    </w:p>
    <w:p>
      <w:pPr>
        <w:pStyle w:val="FirstParagraph"/>
      </w:pPr>
      <w:r>
        <w:t xml:space="preserve">Most critically, we recommend maintaining our hyper-local approach. The Mexico City market demands cultural intelligence—our orthodontist teams' understanding of local values (e.g., family-oriented treatment decisions) is the core differentiator from national chains.</w:t>
      </w:r>
    </w:p>
    <w:bookmarkEnd w:id="28"/>
    <w:p>
      <w:pPr>
        <w:pStyle w:val="BodyText"/>
      </w:pPr>
      <w:r>
        <w:t xml:space="preserve">Sales Report: Orthodontic Performance - Mexico City | Confidential | Prepared for Executive Leadership, Q3 2023</w:t>
      </w:r>
    </w:p>
    <w:p>
      <w:pPr>
        <w:pStyle w:val="BodyText"/>
      </w:pPr>
      <w:r>
        <w:t xml:space="preserve">Prepared by: [Your Company Name] Orthodontic Growth Division</w:t>
      </w:r>
    </w:p>
    <w:p>
      <w:pPr>
        <w:pStyle w:val="BodyText"/>
      </w:pPr>
      <w:r>
        <w:t xml:space="preserve">Word Count: 857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Mexico City Market</dc:title>
  <dc:creator/>
  <dc:language>en</dc:language>
  <cp:keywords/>
  <dcterms:created xsi:type="dcterms:W3CDTF">2026-07-23T20:35:57Z</dcterms:created>
  <dcterms:modified xsi:type="dcterms:W3CDTF">2026-07-23T20:35:57Z</dcterms:modified>
</cp:coreProperties>
</file>

<file path=docProps/custom.xml><?xml version="1.0" encoding="utf-8"?>
<Properties xmlns="http://schemas.openxmlformats.org/officeDocument/2006/custom-properties" xmlns:vt="http://schemas.openxmlformats.org/officeDocument/2006/docPropsVTypes"/>
</file>