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w:t>
      </w:r>
      <w:r>
        <w:t xml:space="preserve"> </w:t>
      </w:r>
      <w:r>
        <w:t xml:space="preserve">Analysis</w:t>
      </w:r>
    </w:p>
    <w:bookmarkStart w:id="28" w:name="X6b7bea77ff99e75b00efc41010d345f9535d0a9"/>
    <w:p>
      <w:pPr>
        <w:pStyle w:val="Heading1"/>
      </w:pPr>
      <w:r>
        <w:t xml:space="preserve">Sales Report: Orthodontic Practice Performance in Myanmar Yangon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Dental Care Group Holdings</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premier orthodontic practice in Myanmar Yangon during Q3 2023. The report confirms a remarkable 18.7% year-over-year revenue growth, driven by strategic market positioning and rising patient demand for advanced orthodontic solutions in Yangon's burgeoning urban centers. As the leading provider of specialty orthodontic care in Myanmar Yangon, our practice has established itself as the region's most trusted</w:t>
      </w:r>
      <w:r>
        <w:t xml:space="preserve"> </w:t>
      </w:r>
      <w:r>
        <w:rPr>
          <w:iCs/>
          <w:i/>
        </w:rPr>
        <w:t xml:space="preserve">Orthodontist</w:t>
      </w:r>
      <w:r>
        <w:t xml:space="preserve"> </w:t>
      </w:r>
      <w:r>
        <w:t xml:space="preserve">destination for both pediatric and adult patients. This Sales Report underscores critical success factors, market opportunities, and actionable insights for sustaining growth in this dynamic Southeast Asian market.</w:t>
      </w:r>
    </w:p>
    <w:bookmarkEnd w:id="20"/>
    <w:bookmarkStart w:id="21" w:name="X520af8431f096e84a70387509008ed52ccee2b3"/>
    <w:p>
      <w:pPr>
        <w:pStyle w:val="Heading2"/>
      </w:pPr>
      <w:r>
        <w:t xml:space="preserve">Market Context: Orthodontics in Myanmar Yangon</w:t>
      </w:r>
    </w:p>
    <w:p>
      <w:pPr>
        <w:pStyle w:val="FirstParagraph"/>
      </w:pPr>
      <w:r>
        <w:t xml:space="preserve">The orthodontic sector in Myanmar Yangon has experienced exponential growth over the past five years, fueled by increasing dental awareness, rising disposable incomes, and shifting societal perceptions regarding dental aesthetics. As the economic hub of Myanmar, Yangon accounts for 63% of the nation's total orthodontic market volume. Our Sales Report identifies a significant shift in patient demographics: while pediatric cases remain strong (58% of new consultations), adult orthodontic treatments have surged by 42% YoY, reflecting growing demand for discreet solutions like clear aligners and lingual braces. This trend is particularly pronounced among Yangon's professional workforce aged 25-45, where aesthetic concerns now rank higher than in previous generations.</w:t>
      </w:r>
    </w:p>
    <w:bookmarkEnd w:id="21"/>
    <w:bookmarkStart w:id="22" w:name="q3-sales-performance-highlights"/>
    <w:p>
      <w:pPr>
        <w:pStyle w:val="Heading2"/>
      </w:pPr>
      <w:r>
        <w:t xml:space="preserve">Q3 Sales Performance Highlights</w:t>
      </w:r>
    </w:p>
    <w:p>
      <w:pPr>
        <w:pStyle w:val="FirstParagraph"/>
      </w:pPr>
      <w:r>
        <w:rPr>
          <w:bCs/>
          <w:b/>
        </w:rPr>
        <w:t xml:space="preserve">Revenue Growth:</w:t>
      </w:r>
      <w:r>
        <w:t xml:space="preserve"> </w:t>
      </w:r>
      <w:r>
        <w:t xml:space="preserve">Total practice revenue reached $148,500 USD (up 18.7% from $125,100 in Q3 2022). This outpaces the regional average growth rate of 9.3% for dental services in Myanmar.</w:t>
      </w:r>
    </w:p>
    <w:p>
      <w:pPr>
        <w:pStyle w:val="BodyText"/>
      </w:pPr>
      <w:r>
        <w:rPr>
          <w:bCs/>
          <w:b/>
        </w:rPr>
        <w:t xml:space="preserve">Case Volume:</w:t>
      </w:r>
      <w:r>
        <w:t xml:space="preserve"> </w:t>
      </w:r>
      <w:r>
        <w:t xml:space="preserve">Completed orthodontic treatments increased to 147 cases (up from 124), with a notable rise in high-value procedures: clear aligner cases grew by 65% (now representing 38% of total volume) and adult comprehensive treatment bookings rose by 52%.</w:t>
      </w:r>
    </w:p>
    <w:p>
      <w:pPr>
        <w:pStyle w:val="BodyText"/>
      </w:pPr>
      <w:r>
        <w:rPr>
          <w:bCs/>
          <w:b/>
        </w:rPr>
        <w:t xml:space="preserve">Patient Acquisition:</w:t>
      </w:r>
      <w:r>
        <w:t xml:space="preserve"> </w:t>
      </w:r>
      <w:r>
        <w:t xml:space="preserve">New patient acquisition cost decreased by 12.3% due to effective community engagement in Yangon's residential districts (Bahan, Hlaing, Insein). Our targeted social media campaigns and free school dental screenings generated 47% of new consultations – a testament to localized marketing success in Myanmar Yangon.</w:t>
      </w:r>
    </w:p>
    <w:p>
      <w:pPr>
        <w:pStyle w:val="BodyText"/>
      </w:pPr>
      <w:r>
        <w:rPr>
          <w:bCs/>
          <w:b/>
        </w:rPr>
        <w:t xml:space="preserve">Retention Metrics:</w:t>
      </w:r>
      <w:r>
        <w:t xml:space="preserve"> </w:t>
      </w:r>
      <w:r>
        <w:t xml:space="preserve">Patient retention rate improved to 89% (vs. 83% YoY), driven by our premium aftercare program exclusively offered at our Yangon facility. This retention rate is 22 points above the national average for orthodontic practices in Myanmar.</w:t>
      </w:r>
    </w:p>
    <w:bookmarkEnd w:id="22"/>
    <w:bookmarkStart w:id="23" w:name="competitive-landscape-analysis"/>
    <w:p>
      <w:pPr>
        <w:pStyle w:val="Heading2"/>
      </w:pPr>
      <w:r>
        <w:t xml:space="preserve">Competitive Landscape Analysis</w:t>
      </w:r>
    </w:p>
    <w:p>
      <w:pPr>
        <w:pStyle w:val="FirstParagraph"/>
      </w:pPr>
      <w:r>
        <w:t xml:space="preserve">Our Sales Report reveals a competitive environment where differentiation is paramount. While three other multi-specialty clinics operate in Yangon, none specialize exclusively in orthodontics. Key competitors lack our proprietary digital workflow system and localized treatment protocols optimized for Myanmar patients' anatomical profiles and cultural preferences.</w:t>
      </w:r>
    </w:p>
    <w:p>
      <w:pPr>
        <w:pStyle w:val="BodyText"/>
      </w:pPr>
      <w:r>
        <w:rPr>
          <w:iCs/>
          <w:i/>
        </w:rPr>
        <w:t xml:space="preserve">Key Competitive Advantage:</w:t>
      </w:r>
      <w:r>
        <w:t xml:space="preserve"> </w:t>
      </w:r>
      <w:r>
        <w:t xml:space="preserve">Our practice's exclusive partnership with Singaporean orthodontic technology provider (OrthoTech Asia) allows us to offer the only clinically validated clear aligner system certified for Southeast Asian patient populations in Yangon. This technology, unavailable at competing clinics, accounts for 31% of our Q3 revenue – a figure that grew 89% from Q1 2023.</w:t>
      </w:r>
    </w:p>
    <w:p>
      <w:pPr>
        <w:pStyle w:val="BodyText"/>
      </w:pPr>
      <w:r>
        <w:t xml:space="preserve">Competition analysis shows a critical gap: Only 17% of Yangon's orthodontic practices offer payment plans tailored to Myanmar's economic reality. Our flexible installment options (5-6 months with no interest) captured 34% of new adult patients, directly contributing to our revenue growth.</w:t>
      </w:r>
    </w:p>
    <w:bookmarkEnd w:id="23"/>
    <w:bookmarkStart w:id="24" w:name="X457b3fc8b84093ea141c9e283d181a9e0540ac0"/>
    <w:p>
      <w:pPr>
        <w:pStyle w:val="Heading2"/>
      </w:pPr>
      <w:r>
        <w:t xml:space="preserve">Challenges Specific to Myanmar Yangon Market</w:t>
      </w:r>
    </w:p>
    <w:p>
      <w:pPr>
        <w:pStyle w:val="FirstParagraph"/>
      </w:pPr>
      <w:r>
        <w:t xml:space="preserve">This Sales Report identifies three critical challenges requiring strategic intervention:</w:t>
      </w:r>
    </w:p>
    <w:p>
      <w:pPr>
        <w:numPr>
          <w:ilvl w:val="0"/>
          <w:numId w:val="1001"/>
        </w:numPr>
        <w:pStyle w:val="Compact"/>
      </w:pPr>
      <w:r>
        <w:rPr>
          <w:bCs/>
          <w:b/>
        </w:rPr>
        <w:t xml:space="preserve">Currency Volatility:</w:t>
      </w:r>
      <w:r>
        <w:t xml:space="preserve"> </w:t>
      </w:r>
      <w:r>
        <w:t xml:space="preserve">Fluctuations in USD/Myanmar Kyat exchange rates (1 USD = 2,850 Ks avg. Q3) increased equipment import costs by 14.2%. We mitigated this through forward contracts on key materials.</w:t>
      </w:r>
    </w:p>
    <w:p>
      <w:pPr>
        <w:numPr>
          <w:ilvl w:val="0"/>
          <w:numId w:val="1001"/>
        </w:numPr>
        <w:pStyle w:val="Compact"/>
      </w:pPr>
      <w:r>
        <w:rPr>
          <w:bCs/>
          <w:b/>
        </w:rPr>
        <w:t xml:space="preserve">Professional Training Gap:</w:t>
      </w:r>
      <w:r>
        <w:t xml:space="preserve"> </w:t>
      </w:r>
      <w:r>
        <w:t xml:space="preserve">Shortage of locally trained orthodontic specialists in Myanmar creates dependency on foreign practitioners. Our Sales Report recommends expanding our in-house training program at the Yangon Orthodontic Academy to develop 5 new local technicians by Q1 2024.</w:t>
      </w:r>
    </w:p>
    <w:p>
      <w:pPr>
        <w:numPr>
          <w:ilvl w:val="0"/>
          <w:numId w:val="1001"/>
        </w:numPr>
        <w:pStyle w:val="Compact"/>
      </w:pPr>
      <w:r>
        <w:rPr>
          <w:bCs/>
          <w:b/>
        </w:rPr>
        <w:t xml:space="preserve">Cultural Perception Barriers:</w:t>
      </w:r>
      <w:r>
        <w:t xml:space="preserve"> </w:t>
      </w:r>
      <w:r>
        <w:t xml:space="preserve">Despite growth, traditional views still associate orthodontics with "only for children." Marketing campaigns emphasizing adult aesthetic benefits (including patient testimonials from Yangon's business community) have proven effective in shifting this perception.</w:t>
      </w:r>
    </w:p>
    <w:bookmarkEnd w:id="24"/>
    <w:bookmarkStart w:id="25" w:name="strategic-initiatives-driving-success"/>
    <w:p>
      <w:pPr>
        <w:pStyle w:val="Heading2"/>
      </w:pPr>
      <w:r>
        <w:t xml:space="preserve">Strategic Initiatives Driving Success</w:t>
      </w:r>
    </w:p>
    <w:p>
      <w:pPr>
        <w:pStyle w:val="FirstParagraph"/>
      </w:pPr>
      <w:r>
        <w:t xml:space="preserve">The following initiatives, documented in our Sales Report, directly contributed to Q3 performance:</w:t>
      </w:r>
    </w:p>
    <w:p>
      <w:pPr>
        <w:numPr>
          <w:ilvl w:val="0"/>
          <w:numId w:val="1002"/>
        </w:numPr>
        <w:pStyle w:val="Compact"/>
      </w:pPr>
      <w:r>
        <w:rPr>
          <w:bCs/>
          <w:b/>
        </w:rPr>
        <w:t xml:space="preserve">Yangon Community Dental Outreach Program:</w:t>
      </w:r>
      <w:r>
        <w:t xml:space="preserve"> </w:t>
      </w:r>
      <w:r>
        <w:t xml:space="preserve">Monthly free dental screenings at Yangon public schools (reaching 1,200 students) generated 28% of new pediatric cases.</w:t>
      </w:r>
    </w:p>
    <w:p>
      <w:pPr>
        <w:numPr>
          <w:ilvl w:val="0"/>
          <w:numId w:val="1002"/>
        </w:numPr>
        <w:pStyle w:val="Compact"/>
      </w:pPr>
      <w:r>
        <w:rPr>
          <w:bCs/>
          <w:b/>
        </w:rPr>
        <w:t xml:space="preserve">AI-Powered Treatment Planning:</w:t>
      </w:r>
      <w:r>
        <w:t xml:space="preserve"> </w:t>
      </w:r>
      <w:r>
        <w:t xml:space="preserve">Implementation of our digital workflow system reduced consultation times by 35% and increased case conversion rates to 76% (vs. industry avg. of 61%).</w:t>
      </w:r>
    </w:p>
    <w:p>
      <w:pPr>
        <w:numPr>
          <w:ilvl w:val="0"/>
          <w:numId w:val="1002"/>
        </w:numPr>
        <w:pStyle w:val="Compact"/>
      </w:pPr>
      <w:r>
        <w:rPr>
          <w:bCs/>
          <w:b/>
        </w:rPr>
        <w:t xml:space="preserve">Corporate Partnership Program:</w:t>
      </w:r>
      <w:r>
        <w:t xml:space="preserve"> </w:t>
      </w:r>
      <w:r>
        <w:t xml:space="preserve">Strategic alliances with Yangon-based companies (e.g., Yoma Strategic, KBZ Bank) offer employee orthodontic discounts, driving a 24% increase in corporate referrals.</w:t>
      </w:r>
    </w:p>
    <w:bookmarkEnd w:id="25"/>
    <w:bookmarkStart w:id="26" w:name="growth-projections-for-myanmar-yangon"/>
    <w:p>
      <w:pPr>
        <w:pStyle w:val="Heading2"/>
      </w:pPr>
      <w:r>
        <w:t xml:space="preserve">Growth Projections for Myanmar Yangon</w:t>
      </w:r>
    </w:p>
    <w:p>
      <w:pPr>
        <w:pStyle w:val="FirstParagraph"/>
      </w:pPr>
      <w:r>
        <w:t xml:space="preserve">Based on market trends analyzed in this Sales Report, we project:</w:t>
      </w:r>
    </w:p>
    <w:p>
      <w:pPr>
        <w:numPr>
          <w:ilvl w:val="0"/>
          <w:numId w:val="1003"/>
        </w:numPr>
        <w:pStyle w:val="Compact"/>
      </w:pPr>
      <w:r>
        <w:t xml:space="preserve">35-40% annual growth in adult orthodontic cases through 2024</w:t>
      </w:r>
    </w:p>
    <w:p>
      <w:pPr>
        <w:numPr>
          <w:ilvl w:val="0"/>
          <w:numId w:val="1003"/>
        </w:numPr>
        <w:pStyle w:val="Compact"/>
      </w:pPr>
      <w:r>
        <w:t xml:space="preserve">Expansion into Naypyidaw with a satellite clinic by Q1 2025 (initially serving government employees)</w:t>
      </w:r>
    </w:p>
    <w:p>
      <w:pPr>
        <w:numPr>
          <w:ilvl w:val="0"/>
          <w:numId w:val="1003"/>
        </w:numPr>
        <w:pStyle w:val="Compact"/>
      </w:pPr>
      <w:r>
        <w:t xml:space="preserve">Potential for 17% revenue contribution from insurance partnerships once Myanmar's dental insurance framework matures</w:t>
      </w:r>
    </w:p>
    <w:bookmarkEnd w:id="26"/>
    <w:bookmarkStart w:id="27" w:name="X3082ffe157cfb00654a2f9c026de98ade1c25d9"/>
    <w:p>
      <w:pPr>
        <w:pStyle w:val="Heading2"/>
      </w:pPr>
      <w:r>
        <w:t xml:space="preserve">Conclusion: The Future of Orthodontics in Myanmar Yangon</w:t>
      </w:r>
    </w:p>
    <w:p>
      <w:pPr>
        <w:pStyle w:val="FirstParagraph"/>
      </w:pPr>
      <w:r>
        <w:t xml:space="preserve">This Sales Report confirms that our orthodontic practice has established itself as the market leader in Myanmar Yangon through unwavering focus on clinical excellence, culturally intelligent patient care, and data-driven business strategy. The rising demand for orthodontic services across all age groups – particularly in Yangon's expanding middle class – presents an unprecedented opportunity. Our continued success hinges on maintaining our technological edge while deepening community integration within Myanmar Yangon.</w:t>
      </w:r>
    </w:p>
    <w:p>
      <w:pPr>
        <w:pStyle w:val="BodyText"/>
      </w:pPr>
      <w:r>
        <w:t xml:space="preserve">As the premier</w:t>
      </w:r>
      <w:r>
        <w:t xml:space="preserve"> </w:t>
      </w:r>
      <w:r>
        <w:rPr>
          <w:iCs/>
          <w:i/>
        </w:rPr>
        <w:t xml:space="preserve">Orthodontist</w:t>
      </w:r>
      <w:r>
        <w:t xml:space="preserve"> </w:t>
      </w:r>
      <w:r>
        <w:t xml:space="preserve">practice in Myanmar, we are not merely providing dental services; we are reshaping perceptions of oral health care across Southeast Asia's most dynamic market. The insights from this Sales Report will directly inform our investment priorities to ensure sustained leadership as Yangon evolves into a regional orthodontic destination. With strategic execution, we project 25%+ annual revenue growth for the next three years in Myanmar Yangon's rapidly expanding orthodontic sector.</w:t>
      </w:r>
    </w:p>
    <w:p>
      <w:pPr>
        <w:pStyle w:val="BodyText"/>
      </w:pPr>
      <w:r>
        <w:rPr>
          <w:bCs/>
          <w:b/>
        </w:rPr>
        <w:t xml:space="preserve">Prepared By:</w:t>
      </w:r>
      <w:r>
        <w:t xml:space="preserve"> </w:t>
      </w:r>
      <w:r>
        <w:t xml:space="preserve">Dr. Aung Myint, Principal Orthodontist</w:t>
      </w:r>
      <w:r>
        <w:br/>
      </w:r>
      <w:r>
        <w:rPr>
          <w:bCs/>
          <w:b/>
        </w:rPr>
        <w:t xml:space="preserve">Practice:</w:t>
      </w:r>
      <w:r>
        <w:t xml:space="preserve"> </w:t>
      </w:r>
      <w:r>
        <w:t xml:space="preserve">Yangon Advanced Orthodontics (YAO)</w:t>
      </w:r>
      <w:r>
        <w:br/>
      </w:r>
      <w:r>
        <w:rPr>
          <w:bCs/>
          <w:b/>
        </w:rPr>
        <w:t xml:space="preserve">Contact:</w:t>
      </w:r>
      <w:r>
        <w:t xml:space="preserve"> </w:t>
      </w:r>
      <w:r>
        <w:t xml:space="preserve">info@yaoorthodonics.com | +95 1 234 5678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Report: Myanmar Yangon Market Analysis</dc:title>
  <dc:creator/>
  <dc:language>en</dc:language>
  <cp:keywords/>
  <dcterms:created xsi:type="dcterms:W3CDTF">2026-07-23T10:35:04Z</dcterms:created>
  <dcterms:modified xsi:type="dcterms:W3CDTF">2026-07-23T10:35:04Z</dcterms:modified>
</cp:coreProperties>
</file>

<file path=docProps/custom.xml><?xml version="1.0" encoding="utf-8"?>
<Properties xmlns="http://schemas.openxmlformats.org/officeDocument/2006/custom-properties" xmlns:vt="http://schemas.openxmlformats.org/officeDocument/2006/docPropsVTypes"/>
</file>