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Orthodontic</w:t>
      </w:r>
      <w:r>
        <w:t xml:space="preserve"> </w:t>
      </w:r>
      <w:r>
        <w:t xml:space="preserve">Sales</w:t>
      </w:r>
      <w:r>
        <w:t xml:space="preserve"> </w:t>
      </w:r>
      <w:r>
        <w:t xml:space="preserve">Report:</w:t>
      </w:r>
      <w:r>
        <w:t xml:space="preserve"> </w:t>
      </w:r>
      <w:r>
        <w:t xml:space="preserve">Amsterdam</w:t>
      </w:r>
      <w:r>
        <w:t xml:space="preserve"> </w:t>
      </w:r>
      <w:r>
        <w:t xml:space="preserve">Netherlands</w:t>
      </w:r>
      <w:r>
        <w:t xml:space="preserve"> </w:t>
      </w:r>
      <w:r>
        <w:t xml:space="preserve">Market</w:t>
      </w:r>
      <w:r>
        <w:t xml:space="preserve"> </w:t>
      </w:r>
      <w:r>
        <w:t xml:space="preserve">Analysis</w:t>
      </w:r>
    </w:p>
    <w:bookmarkStart w:id="31" w:name="Xccf6a99a3100827a478b3b689851a752db31521"/>
    <w:p>
      <w:pPr>
        <w:pStyle w:val="Heading1"/>
      </w:pPr>
      <w:r>
        <w:t xml:space="preserve">Comprehensive Orthodontic Sales Performance Report: Amsterdam Netherlands Market (Q3 2023)</w:t>
      </w:r>
    </w:p>
    <w:p>
      <w:pPr>
        <w:pStyle w:val="FirstParagraph"/>
      </w:pPr>
      <w:r>
        <w:rPr>
          <w:bCs/>
          <w:b/>
        </w:rPr>
        <w:t xml:space="preserve">Prepared For:</w:t>
      </w:r>
      <w:r>
        <w:t xml:space="preserve"> </w:t>
      </w:r>
      <w:r>
        <w:t xml:space="preserve">Management Team, Amsterdam Orthodontics Practice</w:t>
      </w:r>
      <w:r>
        <w:br/>
      </w:r>
      <w:r>
        <w:rPr>
          <w:bCs/>
          <w:b/>
        </w:rPr>
        <w:t xml:space="preserve">Date:</w:t>
      </w:r>
      <w:r>
        <w:t xml:space="preserve"> </w:t>
      </w:r>
      <w:r>
        <w:t xml:space="preserve">October 26, 2023</w:t>
      </w:r>
      <w:r>
        <w:br/>
      </w:r>
      <w:r>
        <w:rPr>
          <w:bCs/>
          <w:b/>
        </w:rPr>
        <w:t xml:space="preserve">Reporting Period:</w:t>
      </w:r>
      <w:r>
        <w:t xml:space="preserve"> </w:t>
      </w:r>
      <w:r>
        <w:t xml:space="preserve">July 1, 2023 – September 30, 2023</w:t>
      </w:r>
    </w:p>
    <w:bookmarkStart w:id="20" w:name="Xdabdbcf5b2ea0863e2c8f4938479ea7c223b4d2"/>
    <w:p>
      <w:pPr>
        <w:pStyle w:val="Heading2"/>
      </w:pPr>
      <w:r>
        <w:t xml:space="preserve">Executive Summary: Positioning the Amsterdam Orthodontist Practice</w:t>
      </w:r>
    </w:p>
    <w:p>
      <w:pPr>
        <w:pStyle w:val="FirstParagraph"/>
      </w:pPr>
      <w:r>
        <w:t xml:space="preserve">This Sales Report details the performance of our premier orthodontic practice in the competitive healthcare landscape of Netherlands Amsterdam. The Q3 period demonstrated exceptional growth, with a 14.7% increase in new patient consultations compared to Q2 2023 and a significant rise in completed treatment plan acceptances (18.3%). This success is directly attributed to our targeted market strategy within Amsterdam's unique demographic profile, adherence to Dutch healthcare standards, and strategic positioning as a leading provider of orthodontic care in the Netherlands capital. Our focus on patient-centered service within the Amsterdam context has solidified our reputation as the preferred orthodontist practice for families across the city.</w:t>
      </w:r>
    </w:p>
    <w:bookmarkEnd w:id="20"/>
    <w:bookmarkStart w:id="21" w:name="X08f47209f1a2c1a7e93d24152a052a3ef32b155"/>
    <w:p>
      <w:pPr>
        <w:pStyle w:val="Heading2"/>
      </w:pPr>
      <w:r>
        <w:t xml:space="preserve">Market Context: Orthodontic Demand in Amsterdam, Netherlands</w:t>
      </w:r>
    </w:p>
    <w:p>
      <w:pPr>
        <w:pStyle w:val="FirstParagraph"/>
      </w:pPr>
      <w:r>
        <w:t xml:space="preserve">Amsterdam presents a highly attractive market for specialized orthodontic services. With a population exceeding 900,000 and a significant proportion of residents under 35 years old (the primary target demographic for orthodontics), the demand pipeline remains robust. Dutch healthcare policy plays a critical role: statutory health insurance (Zorgverzekering) covers up to 65-85% of orthodontic treatment costs for children and adolescents under 18, significantly reducing patient financial barriers. This creates a large, ready-to-act market segment requiring professional</w:t>
      </w:r>
      <w:r>
        <w:t xml:space="preserve"> </w:t>
      </w:r>
      <w:r>
        <w:rPr>
          <w:bCs/>
          <w:b/>
        </w:rPr>
        <w:t xml:space="preserve">Orthodontist</w:t>
      </w:r>
      <w:r>
        <w:t xml:space="preserve"> </w:t>
      </w:r>
      <w:r>
        <w:t xml:space="preserve">services. Furthermore, Amsterdam's high average household income and strong emphasis on dental aesthetics drive demand for cosmetic treatments like clear aligners (Invisalign) among adults – a key growth area within the Netherlands market. Our practice effectively leverages this favorable environment.</w:t>
      </w:r>
    </w:p>
    <w:bookmarkEnd w:id="21"/>
    <w:bookmarkStart w:id="25" w:name="q3-2023-sales-performance-breakdown"/>
    <w:p>
      <w:pPr>
        <w:pStyle w:val="Heading2"/>
      </w:pPr>
      <w:r>
        <w:t xml:space="preserve">Q3 2023 Sales Performance Breakdown</w:t>
      </w:r>
    </w:p>
    <w:bookmarkStart w:id="22" w:name="patient-acquisition-consultation-growth"/>
    <w:p>
      <w:pPr>
        <w:pStyle w:val="Heading3"/>
      </w:pPr>
      <w:r>
        <w:t xml:space="preserve">1. Patient Acquisition &amp; Consultation Growth</w:t>
      </w:r>
    </w:p>
    <w:p>
      <w:pPr>
        <w:pStyle w:val="FirstParagraph"/>
      </w:pPr>
      <w:r>
        <w:t xml:space="preserve">We welcomed 417 new patient consultations in Q3, a substantial increase from 364 in Q2. This represents a 14.7% growth rate specifically within the Amsterdam municipality. Key drivers included:</w:t>
      </w:r>
    </w:p>
    <w:p>
      <w:pPr>
        <w:numPr>
          <w:ilvl w:val="0"/>
          <w:numId w:val="1001"/>
        </w:numPr>
        <w:pStyle w:val="Compact"/>
      </w:pPr>
      <w:r>
        <w:rPr>
          <w:bCs/>
          <w:b/>
        </w:rPr>
        <w:t xml:space="preserve">Local Referral Network Expansion:</w:t>
      </w:r>
      <w:r>
        <w:t xml:space="preserve"> </w:t>
      </w:r>
      <w:r>
        <w:t xml:space="preserve">Stronger partnerships with pediatric dentists and general practitioners across Amsterdam districts (Amsterdam Nieuw-West, Oud-Zuid, Centrum) yielded 58% of new consultations.</w:t>
      </w:r>
    </w:p>
    <w:p>
      <w:pPr>
        <w:numPr>
          <w:ilvl w:val="0"/>
          <w:numId w:val="1001"/>
        </w:numPr>
        <w:pStyle w:val="Compact"/>
      </w:pPr>
      <w:r>
        <w:rPr>
          <w:bCs/>
          <w:b/>
        </w:rPr>
        <w:t xml:space="preserve">Digital Marketing ROI:</w:t>
      </w:r>
      <w:r>
        <w:t xml:space="preserve"> </w:t>
      </w:r>
      <w:r>
        <w:t xml:space="preserve">Targeted Google Ads campaigns focused on "orthodontist Amsterdam" and "braces Netherlands" generated a 27% increase in qualified leads. Local SEO optimization for Amsterdam-specific terms was pivotal.</w:t>
      </w:r>
    </w:p>
    <w:p>
      <w:pPr>
        <w:numPr>
          <w:ilvl w:val="0"/>
          <w:numId w:val="1001"/>
        </w:numPr>
        <w:pStyle w:val="Compact"/>
      </w:pPr>
      <w:r>
        <w:rPr>
          <w:bCs/>
          <w:b/>
        </w:rPr>
        <w:t xml:space="preserve">Community Engagement:</w:t>
      </w:r>
      <w:r>
        <w:t xml:space="preserve"> </w:t>
      </w:r>
      <w:r>
        <w:t xml:space="preserve">Participation in the annual "Zorg &amp; Zorgen" health fair at the RAI Amsterdam venue directly connected us with over 150 potential patients.</w:t>
      </w:r>
    </w:p>
    <w:bookmarkEnd w:id="22"/>
    <w:bookmarkStart w:id="23" w:name="X812f4564a14ae594d04400866a4702f2f885c2b"/>
    <w:p>
      <w:pPr>
        <w:pStyle w:val="Heading3"/>
      </w:pPr>
      <w:r>
        <w:t xml:space="preserve">2. Treatment Plan Acceptance &amp; Revenue Streams</w:t>
      </w:r>
    </w:p>
    <w:p>
      <w:pPr>
        <w:pStyle w:val="FirstParagraph"/>
      </w:pPr>
      <w:r>
        <w:t xml:space="preserve">The conversion rate from consultation to accepted treatment plan reached a new high of 68.2%, up from 64.1% in Q2. This reflects improved patient education and our transparent pricing model aligned with Dutch insurance reimbursement structures.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Treatment Type</w:t>
            </w:r>
          </w:p>
        </w:tc>
        <w:tc>
          <w:tcPr/>
          <w:p>
            <w:pPr>
              <w:pStyle w:val="Compact"/>
              <w:jc w:val="left"/>
            </w:pPr>
            <w:r>
              <w:t xml:space="preserve">% of Total Accepted Plans</w:t>
            </w:r>
          </w:p>
        </w:tc>
        <w:tc>
          <w:tcPr/>
          <w:p>
            <w:pPr>
              <w:pStyle w:val="Compact"/>
              <w:jc w:val="left"/>
            </w:pPr>
            <w:r>
              <w:t xml:space="preserve">Avg. Revenue per Plan (EUR)</w:t>
            </w:r>
          </w:p>
        </w:tc>
        <w:tc>
          <w:tcPr/>
          <w:p>
            <w:pPr>
              <w:pStyle w:val="Compact"/>
              <w:jc w:val="left"/>
            </w:pPr>
            <w:r>
              <w:t xml:space="preserve">Q3 Growth vs Q2</w:t>
            </w:r>
          </w:p>
        </w:tc>
      </w:tr>
      <w:tr>
        <w:tc>
          <w:tcPr/>
          <w:p>
            <w:pPr>
              <w:pStyle w:val="Compact"/>
              <w:jc w:val="left"/>
            </w:pPr>
            <w:r>
              <w:t xml:space="preserve">Traditional Metal Braces (Children/Adolescents)</w:t>
            </w:r>
          </w:p>
        </w:tc>
        <w:tc>
          <w:tcPr/>
          <w:p>
            <w:pPr>
              <w:pStyle w:val="Compact"/>
              <w:jc w:val="left"/>
            </w:pPr>
            <w:r>
              <w:t xml:space="preserve">45%</w:t>
            </w:r>
          </w:p>
        </w:tc>
        <w:tc>
          <w:tcPr/>
          <w:p>
            <w:pPr>
              <w:pStyle w:val="Compact"/>
              <w:jc w:val="left"/>
            </w:pPr>
            <w:r>
              <w:t xml:space="preserve">€2,850</w:t>
            </w:r>
          </w:p>
        </w:tc>
        <w:tc>
          <w:tcPr/>
          <w:p>
            <w:pPr>
              <w:pStyle w:val="Compact"/>
              <w:jc w:val="left"/>
            </w:pPr>
            <w:r>
              <w:t xml:space="preserve">+12.1%</w:t>
            </w:r>
          </w:p>
        </w:tc>
      </w:tr>
      <w:tr>
        <w:tc>
          <w:tcPr/>
          <w:p>
            <w:pPr>
              <w:pStyle w:val="Compact"/>
              <w:jc w:val="left"/>
            </w:pPr>
            <w:r>
              <w:t xml:space="preserve">Invisalign Clear Aligners (Adults &amp; Teens)</w:t>
            </w:r>
          </w:p>
        </w:tc>
        <w:tc>
          <w:tcPr/>
          <w:p>
            <w:pPr>
              <w:pStyle w:val="Compact"/>
              <w:jc w:val="left"/>
            </w:pPr>
            <w:r>
              <w:t xml:space="preserve">38%</w:t>
            </w:r>
          </w:p>
        </w:tc>
        <w:tc>
          <w:tcPr/>
          <w:p>
            <w:pPr>
              <w:pStyle w:val="Compact"/>
              <w:jc w:val="left"/>
            </w:pPr>
            <w:r>
              <w:t xml:space="preserve">€4,100</w:t>
            </w:r>
          </w:p>
        </w:tc>
        <w:tc>
          <w:tcPr/>
          <w:p>
            <w:pPr>
              <w:pStyle w:val="Compact"/>
              <w:jc w:val="left"/>
            </w:pPr>
            <w:r>
              <w:t xml:space="preserve">+23.5%*</w:t>
            </w:r>
          </w:p>
        </w:tc>
      </w:tr>
      <w:tr>
        <w:tc>
          <w:tcPr/>
          <w:p>
            <w:pPr>
              <w:pStyle w:val="Compact"/>
              <w:jc w:val="left"/>
            </w:pPr>
            <w:r>
              <w:t xml:space="preserve">Self-Ligating Braces (Premium Segment)</w:t>
            </w:r>
          </w:p>
        </w:tc>
        <w:tc>
          <w:tcPr/>
          <w:p>
            <w:pPr>
              <w:pStyle w:val="Compact"/>
              <w:jc w:val="left"/>
            </w:pPr>
            <w:r>
              <w:t xml:space="preserve">12%</w:t>
            </w:r>
          </w:p>
        </w:tc>
        <w:tc>
          <w:tcPr/>
          <w:p>
            <w:pPr>
              <w:pStyle w:val="Compact"/>
              <w:jc w:val="left"/>
            </w:pPr>
            <w:r>
              <w:t xml:space="preserve">€3,550</w:t>
            </w:r>
          </w:p>
        </w:tc>
        <w:tc>
          <w:tcPr/>
          <w:p>
            <w:pPr>
              <w:pStyle w:val="Compact"/>
              <w:jc w:val="left"/>
            </w:pPr>
            <w:r>
              <w:t xml:space="preserve">+17.8%</w:t>
            </w:r>
          </w:p>
        </w:tc>
      </w:tr>
      <w:tr>
        <w:tc>
          <w:tcPr/>
          <w:p>
            <w:pPr>
              <w:pStyle w:val="Compact"/>
              <w:jc w:val="left"/>
            </w:pPr>
            <w:r>
              <w:t xml:space="preserve">Treatment Retention Plans (Follow-up Care)</w:t>
            </w:r>
          </w:p>
        </w:tc>
        <w:tc>
          <w:tcPr/>
          <w:p>
            <w:pPr>
              <w:pStyle w:val="Compact"/>
              <w:jc w:val="left"/>
            </w:pPr>
            <w:r>
              <w:t xml:space="preserve">5%</w:t>
            </w:r>
          </w:p>
        </w:tc>
        <w:tc>
          <w:tcPr/>
          <w:p>
            <w:pPr>
              <w:pStyle w:val="Compact"/>
              <w:jc w:val="left"/>
            </w:pPr>
            <w:r>
              <w:t xml:space="preserve">€980 (Annual)</w:t>
            </w:r>
          </w:p>
        </w:tc>
        <w:tc>
          <w:tcPr/>
          <w:p>
            <w:pPr>
              <w:pStyle w:val="Compact"/>
              <w:jc w:val="left"/>
            </w:pPr>
            <w:r>
              <w:t xml:space="preserve">+8.3%</w:t>
            </w:r>
          </w:p>
        </w:tc>
      </w:tr>
    </w:tbl>
    <w:p>
      <w:pPr>
        <w:pStyle w:val="BodyText"/>
      </w:pPr>
      <w:r>
        <w:t xml:space="preserve">*Invisalign saw the strongest growth due to heightened awareness following our successful Amsterdam-specific social media campaign highlighting adult treatment success stories.</w:t>
      </w:r>
    </w:p>
    <w:bookmarkEnd w:id="23"/>
    <w:bookmarkStart w:id="24" w:name="Xa5c286a33c2c3c1a8ad0f13aaa800c8a3746c43"/>
    <w:p>
      <w:pPr>
        <w:pStyle w:val="Heading3"/>
      </w:pPr>
      <w:r>
        <w:t xml:space="preserve">3. Competitive Positioning in Netherlands Amsterdam</w:t>
      </w:r>
    </w:p>
    <w:p>
      <w:pPr>
        <w:pStyle w:val="FirstParagraph"/>
      </w:pPr>
      <w:r>
        <w:t xml:space="preserve">Analysis of key competitors within a 5km radius of our clinic (Oudezijds Voorburgwal location) reveals:</w:t>
      </w:r>
    </w:p>
    <w:p>
      <w:pPr>
        <w:numPr>
          <w:ilvl w:val="0"/>
          <w:numId w:val="1002"/>
        </w:numPr>
        <w:pStyle w:val="Compact"/>
      </w:pPr>
      <w:r>
        <w:t xml:space="preserve">We lead in patient satisfaction scores (4.8/5 on Dutch platform "Zorgkaart") compared to the Amsterdam average of 4.2.</w:t>
      </w:r>
    </w:p>
    <w:p>
      <w:pPr>
        <w:numPr>
          <w:ilvl w:val="0"/>
          <w:numId w:val="1002"/>
        </w:numPr>
        <w:pStyle w:val="Compact"/>
      </w:pPr>
      <w:r>
        <w:t xml:space="preserve">Our transparent pricing structure for non-covered adult treatment options (e.g., Invisalign) differentiates us from competitors with less clear fee schedules.</w:t>
      </w:r>
    </w:p>
    <w:p>
      <w:pPr>
        <w:numPr>
          <w:ilvl w:val="0"/>
          <w:numId w:val="1002"/>
        </w:numPr>
        <w:pStyle w:val="Compact"/>
      </w:pPr>
      <w:r>
        <w:t xml:space="preserve">We are the only practice in central Amsterdam offering comprehensive tele-consultation options integrated with Dutch health insurance portals (e.g., Zorgkaart), enhancing accessibility – a critical factor for busy Amsterdam professionals.</w:t>
      </w:r>
    </w:p>
    <w:bookmarkEnd w:id="24"/>
    <w:bookmarkEnd w:id="25"/>
    <w:bookmarkStart w:id="29" w:name="key-challenges-strategic-recommendations"/>
    <w:p>
      <w:pPr>
        <w:pStyle w:val="Heading2"/>
      </w:pPr>
      <w:r>
        <w:t xml:space="preserve">Key Challenges &amp; Strategic Recommendations</w:t>
      </w:r>
    </w:p>
    <w:bookmarkStart w:id="26" w:name="X576d8d8648670c2ecee1d47a0b4bfb6d4b6d4a6"/>
    <w:p>
      <w:pPr>
        <w:pStyle w:val="Heading3"/>
      </w:pPr>
      <w:r>
        <w:t xml:space="preserve">1. Managing Rising Material Costs (Netherlands Context)</w:t>
      </w:r>
    </w:p>
    <w:p>
      <w:pPr>
        <w:pStyle w:val="FirstParagraph"/>
      </w:pPr>
      <w:r>
        <w:t xml:space="preserve">Rising import costs for premium orthodontic materials (e.g., Invisalign aligners) impact gross margins. Recommendation: Negotiate volume agreements with Dutch distributors and explore bundling services to maintain patient value perception while protecting profitability.</w:t>
      </w:r>
    </w:p>
    <w:bookmarkEnd w:id="26"/>
    <w:bookmarkStart w:id="27" w:name="expanding-adult-market-penetration"/>
    <w:p>
      <w:pPr>
        <w:pStyle w:val="Heading3"/>
      </w:pPr>
      <w:r>
        <w:t xml:space="preserve">2. Expanding Adult Market Penetration</w:t>
      </w:r>
    </w:p>
    <w:p>
      <w:pPr>
        <w:pStyle w:val="FirstParagraph"/>
      </w:pPr>
      <w:r>
        <w:t xml:space="preserve">The adult orthodontic segment (25-45 years) in Amsterdam shows significant untapped potential. Recommendation: Launch a targeted "Adult Smile Makeover" campaign in Q4, partnering with Amsterdam corporate wellness programs and leveraging the high visibility of our location near major business districts like De Pijp and Waterlooplein.</w:t>
      </w:r>
    </w:p>
    <w:bookmarkEnd w:id="27"/>
    <w:bookmarkStart w:id="28" w:name="optimizing-insurance-navigation"/>
    <w:p>
      <w:pPr>
        <w:pStyle w:val="Heading3"/>
      </w:pPr>
      <w:r>
        <w:t xml:space="preserve">3. Optimizing Insurance Navigation</w:t>
      </w:r>
    </w:p>
    <w:p>
      <w:pPr>
        <w:pStyle w:val="FirstParagraph"/>
      </w:pPr>
      <w:r>
        <w:t xml:space="preserve">Patient confusion regarding insurance coverage remains a minor barrier. Recommendation: Develop standardized, multilingual (Dutch/English/German) information sheets specifically for the Netherlands insurance system, available digitally and in-clinic, to streamline the pre-treatment process for our Amsterdam patient base.</w:t>
      </w:r>
    </w:p>
    <w:bookmarkEnd w:id="28"/>
    <w:bookmarkEnd w:id="29"/>
    <w:bookmarkStart w:id="30" w:name="X129690d241f5ada737239ef959b2ee97d10172e"/>
    <w:p>
      <w:pPr>
        <w:pStyle w:val="Heading2"/>
      </w:pPr>
      <w:r>
        <w:t xml:space="preserve">Conclusion: Sustaining Growth as Leading Amsterdam Orthodontist</w:t>
      </w:r>
    </w:p>
    <w:p>
      <w:pPr>
        <w:pStyle w:val="FirstParagraph"/>
      </w:pPr>
      <w:r>
        <w:t xml:space="preserve">The Q3 results confirm that our strategic focus on delivering exceptional, transparent orthodontic care within the Netherlands market, specifically tailored to the needs of Amsterdam residents, is yielding strong commercial results. The practice is not merely meeting demand; it is actively shaping patient expectations for quality and accessibility in orthodontics across Amsterdam. Our continued success hinges on maintaining this patient-centric approach while strategically investing in growth areas like adult clear aligners and leveraging digital tools compliant with Dutch healthcare data standards (Dutch GDPR guidelines). As the most sought-after</w:t>
      </w:r>
      <w:r>
        <w:t xml:space="preserve"> </w:t>
      </w:r>
      <w:r>
        <w:rPr>
          <w:bCs/>
          <w:b/>
        </w:rPr>
        <w:t xml:space="preserve">Orthodontist</w:t>
      </w:r>
      <w:r>
        <w:t xml:space="preserve"> </w:t>
      </w:r>
      <w:r>
        <w:t xml:space="preserve">practice in Amsterdam, Netherlands, we are positioned for sustained growth and market leadership. We project a further 10-12% increase in treatment plan acceptances for Q4 2023, driven by our robust referral network and targeted marketing within the Amsterdam community.</w:t>
      </w:r>
    </w:p>
    <w:p>
      <w:pPr>
        <w:pStyle w:val="BodyText"/>
      </w:pPr>
      <w:r>
        <w:rPr>
          <w:bCs/>
          <w:b/>
        </w:rPr>
        <w:t xml:space="preserve">Prepared By:</w:t>
      </w:r>
      <w:r>
        <w:t xml:space="preserve"> </w:t>
      </w:r>
      <w:r>
        <w:t xml:space="preserve">Sales &amp; Strategy Department</w:t>
      </w:r>
      <w:r>
        <w:br/>
      </w:r>
      <w:r>
        <w:rPr>
          <w:bCs/>
          <w:b/>
        </w:rPr>
        <w:t xml:space="preserve">Orthodontic Practice:</w:t>
      </w:r>
      <w:r>
        <w:t xml:space="preserve"> </w:t>
      </w:r>
      <w:r>
        <w:t xml:space="preserve">Amsterdam Smile Solutions</w:t>
      </w:r>
      <w:r>
        <w:br/>
      </w:r>
      <w:r>
        <w:rPr>
          <w:bCs/>
          <w:b/>
        </w:rPr>
        <w:t xml:space="preserve">Serving Patients Across Netherlands Amsterdam Since 2010</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Orthodontic Sales Report: Amsterdam Netherlands Market Analysis</dc:title>
  <dc:creator/>
  <dc:language>en</dc:language>
  <cp:keywords/>
  <dcterms:created xsi:type="dcterms:W3CDTF">2025-12-13T06:16:23Z</dcterms:created>
  <dcterms:modified xsi:type="dcterms:W3CDTF">2025-12-13T06:16:23Z</dcterms:modified>
</cp:coreProperties>
</file>

<file path=docProps/custom.xml><?xml version="1.0" encoding="utf-8"?>
<Properties xmlns="http://schemas.openxmlformats.org/officeDocument/2006/custom-properties" xmlns:vt="http://schemas.openxmlformats.org/officeDocument/2006/docPropsVTypes"/>
</file>