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Xfaa68c197db403c4ce1d11bb6896c751a3ad785"/>
    <w:p>
      <w:pPr>
        <w:pStyle w:val="Heading1"/>
      </w:pPr>
      <w:r>
        <w:t xml:space="preserve">Comprehensive Orthodontic Sales Performance Report: New Zealand Auckland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r>
        <w:br/>
      </w:r>
      <w:r>
        <w:rPr>
          <w:bCs/>
          <w:b/>
        </w:rPr>
        <w:t xml:space="preserve">Location Focus:</w:t>
      </w:r>
      <w:r>
        <w:t xml:space="preserve"> </w:t>
      </w:r>
      <w:r>
        <w:t xml:space="preserve">New Zealand Auckland Metropolitan Region</w:t>
      </w:r>
    </w:p>
    <w:bookmarkStart w:id="20" w:name="i.-executive-summary"/>
    <w:p>
      <w:pPr>
        <w:pStyle w:val="Heading2"/>
      </w:pPr>
      <w:r>
        <w:t xml:space="preserve">I. Executive Summary</w:t>
      </w:r>
    </w:p>
    <w:p>
      <w:pPr>
        <w:pStyle w:val="FirstParagraph"/>
      </w:pPr>
      <w:r>
        <w:t xml:space="preserve">This Sales Report details the performance of orthodontic services across our practice network in New Zealand Auckland during the first three quarters of 2023. Despite global economic headwinds and evolving healthcare dynamics, our orthodontist practices demonstrated robust growth, achieving a 15.7% year-over-year increase in revenue. The report identifies key drivers including rising demand for cosmetic orthodontics among Auckland's youth demographic, strategic expansion into new suburbs, and enhanced digital patient acquisition methods tailored to New Zealand's unique market. As the leading orthodontist provider in Auckland, we have solidified our position as the preferred choice for comprehensive orthodontic care in New Zealand.</w:t>
      </w:r>
    </w:p>
    <w:bookmarkEnd w:id="20"/>
    <w:bookmarkStart w:id="23" w:name="X082255496bcfa3c169d85aa5cd25358c44e6ec4"/>
    <w:p>
      <w:pPr>
        <w:pStyle w:val="Heading2"/>
      </w:pPr>
      <w:r>
        <w:t xml:space="preserve">II. Sales Performance Breakdown (New Zealand Auckland)</w:t>
      </w:r>
    </w:p>
    <w:bookmarkStart w:id="21" w:name="a.-revenue-analysis"/>
    <w:p>
      <w:pPr>
        <w:pStyle w:val="Heading3"/>
      </w:pPr>
      <w:r>
        <w:t xml:space="preserve">A. Revenue Analysis</w:t>
      </w:r>
    </w:p>
    <w:p>
      <w:pPr>
        <w:pStyle w:val="FirstParagraph"/>
      </w:pPr>
      <w:r>
        <w:t xml:space="preserve">Our total revenue for Q1-Q3 2023 reached NZD $8,450,000 – a significant jump from NZD $7,315,000 in the same period last year. This growth is directly attributable to our orthodontist-led service model and strategic focus on Auckland's expanding population. Key revenue streams included:</w:t>
      </w:r>
    </w:p>
    <w:p>
      <w:pPr>
        <w:numPr>
          <w:ilvl w:val="0"/>
          <w:numId w:val="1001"/>
        </w:numPr>
        <w:pStyle w:val="Compact"/>
      </w:pPr>
      <w:r>
        <w:rPr>
          <w:bCs/>
          <w:b/>
        </w:rPr>
        <w:t xml:space="preserve">Traditional Braces (Metal/Ceramic):</w:t>
      </w:r>
      <w:r>
        <w:t xml:space="preserve"> </w:t>
      </w:r>
      <w:r>
        <w:t xml:space="preserve">42% of total revenue (up 9% YoY)</w:t>
      </w:r>
    </w:p>
    <w:p>
      <w:pPr>
        <w:numPr>
          <w:ilvl w:val="0"/>
          <w:numId w:val="1001"/>
        </w:numPr>
        <w:pStyle w:val="Compact"/>
      </w:pPr>
      <w:r>
        <w:rPr>
          <w:bCs/>
          <w:b/>
        </w:rPr>
        <w:t xml:space="preserve">Clear Aligners (Invisalign, ClearCorrect):</w:t>
      </w:r>
      <w:r>
        <w:t xml:space="preserve"> </w:t>
      </w:r>
      <w:r>
        <w:t xml:space="preserve">35% of total revenue (up 28% YoY)</w:t>
      </w:r>
    </w:p>
    <w:p>
      <w:pPr>
        <w:numPr>
          <w:ilvl w:val="0"/>
          <w:numId w:val="1001"/>
        </w:numPr>
        <w:pStyle w:val="Compact"/>
      </w:pPr>
      <w:r>
        <w:rPr>
          <w:bCs/>
          <w:b/>
        </w:rPr>
        <w:t xml:space="preserve">Surgical Orthodontics:</w:t>
      </w:r>
      <w:r>
        <w:t xml:space="preserve"> </w:t>
      </w:r>
      <w:r>
        <w:t xml:space="preserve">12% of total revenue (up 14% YoY)</w:t>
      </w:r>
    </w:p>
    <w:p>
      <w:pPr>
        <w:numPr>
          <w:ilvl w:val="0"/>
          <w:numId w:val="1001"/>
        </w:numPr>
        <w:pStyle w:val="Compact"/>
      </w:pPr>
      <w:r>
        <w:rPr>
          <w:bCs/>
          <w:b/>
        </w:rPr>
        <w:t xml:space="preserve">Retention &amp; Maintenance Plans:</w:t>
      </w:r>
      <w:r>
        <w:t xml:space="preserve"> </w:t>
      </w:r>
      <w:r>
        <w:t xml:space="preserve">11% of total revenue (up 23% YoY)</w:t>
      </w:r>
    </w:p>
    <w:p>
      <w:pPr>
        <w:pStyle w:val="FirstParagraph"/>
      </w:pPr>
      <w:r>
        <w:t xml:space="preserve">The clear aligner segment showed the strongest growth, reflecting Auckland families' increasing preference for discreet treatment options – a trend accelerating in New Zealand's urban centers.</w:t>
      </w:r>
    </w:p>
    <w:bookmarkEnd w:id="21"/>
    <w:bookmarkStart w:id="22" w:name="b.-patient-acquisition-retention"/>
    <w:p>
      <w:pPr>
        <w:pStyle w:val="Heading3"/>
      </w:pPr>
      <w:r>
        <w:t xml:space="preserve">B. Patient Acquisition &amp; Retention</w:t>
      </w:r>
    </w:p>
    <w:p>
      <w:pPr>
        <w:pStyle w:val="FirstParagraph"/>
      </w:pPr>
      <w:r>
        <w:t xml:space="preserve">Auckland-based patient acquisition cost decreased by 7.2% due to our targeted social media campaigns and partnerships with local schools across New Zealand Auckland. We achieved a 94% patient retention rate for orthodontic treatment completion, significantly above the national average of 86%. Strategic initiatives include:</w:t>
      </w:r>
    </w:p>
    <w:p>
      <w:pPr>
        <w:numPr>
          <w:ilvl w:val="0"/>
          <w:numId w:val="1002"/>
        </w:numPr>
        <w:pStyle w:val="Compact"/>
      </w:pPr>
      <w:r>
        <w:t xml:space="preserve">Free "Smile Consultations" at Auckland community centers (1,200+ attendees quarterly)</w:t>
      </w:r>
    </w:p>
    <w:p>
      <w:pPr>
        <w:numPr>
          <w:ilvl w:val="0"/>
          <w:numId w:val="1002"/>
        </w:numPr>
        <w:pStyle w:val="Compact"/>
      </w:pPr>
      <w:r>
        <w:t xml:space="preserve">Referral program offering NZD $150 for successful patient introductions</w:t>
      </w:r>
    </w:p>
    <w:p>
      <w:pPr>
        <w:numPr>
          <w:ilvl w:val="0"/>
          <w:numId w:val="1002"/>
        </w:numPr>
        <w:pStyle w:val="Compact"/>
      </w:pPr>
      <w:r>
        <w:t xml:space="preserve">Dedicated Auckland customer service team operating within New Zealand's business hours</w:t>
      </w:r>
    </w:p>
    <w:bookmarkEnd w:id="22"/>
    <w:bookmarkEnd w:id="23"/>
    <w:bookmarkStart w:id="27" w:name="X2a0e3836a09cc81b3b381ba9ea5dcd41f0d2fe5"/>
    <w:p>
      <w:pPr>
        <w:pStyle w:val="Heading2"/>
      </w:pPr>
      <w:r>
        <w:t xml:space="preserve">III. Market Dynamics: New Zealand Auckland Orthodontic Landscape</w:t>
      </w:r>
    </w:p>
    <w:p>
      <w:pPr>
        <w:pStyle w:val="FirstParagraph"/>
      </w:pPr>
      <w:r>
        <w:t xml:space="preserve">As the largest city in New Zealand, Auckland represents 35% of the nation's orthodontic market. Our analysis reveals three critical trends shaping this sector:</w:t>
      </w:r>
    </w:p>
    <w:bookmarkStart w:id="24" w:name="demographic-shifts"/>
    <w:p>
      <w:pPr>
        <w:pStyle w:val="Heading3"/>
      </w:pPr>
      <w:r>
        <w:t xml:space="preserve">1. Demographic Shifts</w:t>
      </w:r>
    </w:p>
    <w:p>
      <w:pPr>
        <w:pStyle w:val="FirstParagraph"/>
      </w:pPr>
      <w:r>
        <w:t xml:space="preserve">Auckland's population growth (2.1% annually) has created a surge in pediatric orthodontic demand. Families in suburbs like Mount Albert, Penrose, and Rosedale increasingly prioritize early intervention – driving a 24% increase in treatment starts for patients aged 7-12. This aligns with the New Zealand Ministry of Health's emphasis on childhood oral health initiatives.</w:t>
      </w:r>
    </w:p>
    <w:bookmarkEnd w:id="24"/>
    <w:bookmarkStart w:id="25" w:name="competitive-differentiation"/>
    <w:p>
      <w:pPr>
        <w:pStyle w:val="Heading3"/>
      </w:pPr>
      <w:r>
        <w:t xml:space="preserve">2. Competitive Differentiation</w:t>
      </w:r>
    </w:p>
    <w:p>
      <w:pPr>
        <w:pStyle w:val="FirstParagraph"/>
      </w:pPr>
      <w:r>
        <w:t xml:space="preserve">In the competitive Auckland orthodontist market, we've outperformed rivals through:</w:t>
      </w:r>
    </w:p>
    <w:p>
      <w:pPr>
        <w:numPr>
          <w:ilvl w:val="0"/>
          <w:numId w:val="1003"/>
        </w:numPr>
        <w:pStyle w:val="Compact"/>
      </w:pPr>
      <w:r>
        <w:t xml:space="preserve">Comprehensive insurance navigation services (covering 98% of major New Zealand insurers)</w:t>
      </w:r>
    </w:p>
    <w:p>
      <w:pPr>
        <w:numPr>
          <w:ilvl w:val="0"/>
          <w:numId w:val="1003"/>
        </w:numPr>
        <w:pStyle w:val="Compact"/>
      </w:pPr>
      <w:r>
        <w:t xml:space="preserve">On-site digital scanning (CEREC®) reducing treatment timelines by 17%</w:t>
      </w:r>
    </w:p>
    <w:bookmarkEnd w:id="25"/>
    <w:bookmarkStart w:id="26" w:name="economic-factors"/>
    <w:p>
      <w:pPr>
        <w:pStyle w:val="Heading3"/>
      </w:pPr>
      <w:r>
        <w:t xml:space="preserve">3. Economic Factors</w:t>
      </w:r>
    </w:p>
    <w:p>
      <w:pPr>
        <w:pStyle w:val="FirstParagraph"/>
      </w:pPr>
      <w:r>
        <w:t xml:space="preserve">Auckland's cost-of-living pressures have led to increased demand for flexible payment plans. Our "SmilePay" installment program (0% interest, 24 months) captured 68% of new cases – a testament to our adaptability within New Zealand's economic context.</w:t>
      </w:r>
    </w:p>
    <w:bookmarkEnd w:id="26"/>
    <w:bookmarkEnd w:id="27"/>
    <w:bookmarkStart w:id="28" w:name="X3d770fff8143adc48ce47f574593df01d80d20e"/>
    <w:p>
      <w:pPr>
        <w:pStyle w:val="Heading2"/>
      </w:pPr>
      <w:r>
        <w:t xml:space="preserve">IV. Customer Insights from New Zealand Auckland</w:t>
      </w:r>
    </w:p>
    <w:p>
      <w:pPr>
        <w:pStyle w:val="FirstParagraph"/>
      </w:pPr>
      <w:r>
        <w:t xml:space="preserve">Our Q3 patient satisfaction survey (n=1,450 Auckland residents) revealed:</w:t>
      </w:r>
    </w:p>
    <w:p>
      <w:pPr>
        <w:numPr>
          <w:ilvl w:val="0"/>
          <w:numId w:val="1004"/>
        </w:numPr>
        <w:pStyle w:val="Compact"/>
      </w:pPr>
      <w:r>
        <w:rPr>
          <w:bCs/>
          <w:b/>
        </w:rPr>
        <w:t xml:space="preserve">96% of patients</w:t>
      </w:r>
      <w:r>
        <w:t xml:space="preserve"> </w:t>
      </w:r>
      <w:r>
        <w:t xml:space="preserve">chose our orthodontist practice due to "local expertise" and familiarity with New Zealand healthcare protocols</w:t>
      </w:r>
    </w:p>
    <w:p>
      <w:pPr>
        <w:numPr>
          <w:ilvl w:val="0"/>
          <w:numId w:val="1004"/>
        </w:numPr>
        <w:pStyle w:val="Compact"/>
      </w:pPr>
      <w:r>
        <w:rPr>
          <w:bCs/>
          <w:b/>
        </w:rPr>
        <w:t xml:space="preserve">78% mentioned</w:t>
      </w:r>
      <w:r>
        <w:t xml:space="preserve"> </w:t>
      </w:r>
      <w:r>
        <w:t xml:space="preserve">online reviews in Auckland-based platforms (Google, Facebook) as a primary decision factor</w:t>
      </w:r>
    </w:p>
    <w:p>
      <w:pPr>
        <w:numPr>
          <w:ilvl w:val="0"/>
          <w:numId w:val="1004"/>
        </w:numPr>
        <w:pStyle w:val="Compact"/>
      </w:pPr>
      <w:r>
        <w:rPr>
          <w:bCs/>
          <w:b/>
        </w:rPr>
        <w:t xml:space="preserve">Key Feedback:</w:t>
      </w:r>
      <w:r>
        <w:t xml:space="preserve"> </w:t>
      </w:r>
      <w:r>
        <w:t xml:space="preserve">"The orthodontist at [Practice Name] understands NZ cultural nuances in family dental care"</w:t>
      </w:r>
    </w:p>
    <w:p>
      <w:pPr>
        <w:pStyle w:val="FirstParagraph"/>
      </w:pPr>
      <w:r>
        <w:t xml:space="preserve">This sentiment underscores how our Auckland-based orthodontist teams' cultural awareness and community integration drive patient loyalty – a critical advantage over non-local competitors.</w:t>
      </w:r>
    </w:p>
    <w:bookmarkEnd w:id="28"/>
    <w:bookmarkStart w:id="29" w:name="Xe122752df6d80b5f74691b3c341834427d6c387"/>
    <w:p>
      <w:pPr>
        <w:pStyle w:val="Heading2"/>
      </w:pPr>
      <w:r>
        <w:t xml:space="preserve">V. Strategic Opportunities for Growth (New Zealand Auckland)</w:t>
      </w:r>
    </w:p>
    <w:p>
      <w:pPr>
        <w:pStyle w:val="FirstParagraph"/>
      </w:pPr>
      <w:r>
        <w:t xml:space="preserve">Based on current market conditions, we recommend three priority initiatives for 2024:</w:t>
      </w:r>
    </w:p>
    <w:p>
      <w:pPr>
        <w:numPr>
          <w:ilvl w:val="0"/>
          <w:numId w:val="1005"/>
        </w:numPr>
        <w:pStyle w:val="Compact"/>
      </w:pPr>
      <w:r>
        <w:rPr>
          <w:bCs/>
          <w:b/>
        </w:rPr>
        <w:t xml:space="preserve">Expansion into South Auckland Suburbs:</w:t>
      </w:r>
      <w:r>
        <w:t xml:space="preserve"> </w:t>
      </w:r>
      <w:r>
        <w:t xml:space="preserve">Targeting Manukau City and Papakura where orthodontic access is limited. Projected 18% revenue uplift from new practice locations.</w:t>
      </w:r>
    </w:p>
    <w:p>
      <w:pPr>
        <w:numPr>
          <w:ilvl w:val="0"/>
          <w:numId w:val="1005"/>
        </w:numPr>
        <w:pStyle w:val="Compact"/>
      </w:pPr>
      <w:r>
        <w:rPr>
          <w:bCs/>
          <w:b/>
        </w:rPr>
        <w:t xml:space="preserve">Telehealth Integration:</w:t>
      </w:r>
      <w:r>
        <w:t xml:space="preserve"> </w:t>
      </w:r>
      <w:r>
        <w:t xml:space="preserve">Launching virtual consultations for follow-ups – addressing New Zealand's geographic challenges while improving patient retention in Auckland.</w:t>
      </w:r>
    </w:p>
    <w:p>
      <w:pPr>
        <w:numPr>
          <w:ilvl w:val="0"/>
          <w:numId w:val="1005"/>
        </w:numPr>
        <w:pStyle w:val="Compact"/>
      </w:pPr>
      <w:r>
        <w:rPr>
          <w:bCs/>
          <w:b/>
        </w:rPr>
        <w:t xml:space="preserve">Community Partnerships:</w:t>
      </w:r>
      <w:r>
        <w:t xml:space="preserve"> </w:t>
      </w:r>
      <w:r>
        <w:t xml:space="preserve">Collaborating with Auckland City Council on school dental health programs to reach 10,000+ children annually.</w:t>
      </w:r>
    </w:p>
    <w:p>
      <w:pPr>
        <w:pStyle w:val="FirstParagraph"/>
      </w:pPr>
      <w:r>
        <w:t xml:space="preserve">These initiatives align with the New Zealand Orthodontic Society's 2023 strategic goals for improving rural-urban access equity – positioning us as industry leaders in Auckland and across New Zealand.</w:t>
      </w:r>
    </w:p>
    <w:bookmarkEnd w:id="29"/>
    <w:bookmarkStart w:id="30" w:name="vi.-conclusion"/>
    <w:p>
      <w:pPr>
        <w:pStyle w:val="Heading2"/>
      </w:pPr>
      <w:r>
        <w:t xml:space="preserve">VI. Conclusion</w:t>
      </w:r>
    </w:p>
    <w:p>
      <w:pPr>
        <w:pStyle w:val="FirstParagraph"/>
      </w:pPr>
      <w:r>
        <w:t xml:space="preserve">This Sales Report confirms that our orthodontist practice in New Zealand Auckland has not only maintained but significantly strengthened its market leadership position. The 15.7% revenue growth demonstrates exceptional execution within a dynamic healthcare environment, while patient satisfaction metrics reflect our commitment to culturally competent care that resonates deeply with Auckland communities.</w:t>
      </w:r>
    </w:p>
    <w:p>
      <w:pPr>
        <w:pStyle w:val="BodyText"/>
      </w:pPr>
      <w:r>
        <w:t xml:space="preserve">As the premier orthodontist provider in New Zealand Auckland, we remain dedicated to advancing oral health outcomes through innovation and community partnership. Our strategic focus on accessibility, technological excellence, and personalized service ensures sustained growth within New Zealand's most populous region – setting a benchmark for orthodontic excellence across the nation.</w:t>
      </w:r>
    </w:p>
    <w:p>
      <w:pPr>
        <w:pStyle w:val="BodyText"/>
      </w:pPr>
      <w:r>
        <w:rPr>
          <w:bCs/>
          <w:b/>
        </w:rPr>
        <w:t xml:space="preserve">Prepared By:</w:t>
      </w:r>
      <w:r>
        <w:t xml:space="preserve"> </w:t>
      </w:r>
      <w:r>
        <w:t xml:space="preserve">Auckland Orthodontics Strategic Analysis Team</w:t>
      </w:r>
      <w:r>
        <w:br/>
      </w:r>
      <w:r>
        <w:rPr>
          <w:bCs/>
          <w:b/>
        </w:rPr>
        <w:t xml:space="preserve">Contact:</w:t>
      </w:r>
      <w:r>
        <w:t xml:space="preserve"> </w:t>
      </w:r>
      <w:r>
        <w:t xml:space="preserve">strategicanalysis@aklortho.nz | +64 9 880 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 New Zealand Auckland</dc:title>
  <dc:creator/>
  <dc:language>en</dc:language>
  <cp:keywords/>
  <dcterms:created xsi:type="dcterms:W3CDTF">2026-07-24T21:49:54Z</dcterms:created>
  <dcterms:modified xsi:type="dcterms:W3CDTF">2026-07-24T21:49:54Z</dcterms:modified>
</cp:coreProperties>
</file>

<file path=docProps/custom.xml><?xml version="1.0" encoding="utf-8"?>
<Properties xmlns="http://schemas.openxmlformats.org/officeDocument/2006/custom-properties" xmlns:vt="http://schemas.openxmlformats.org/officeDocument/2006/docPropsVTypes"/>
</file>