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Orthodontic</w:t>
      </w:r>
      <w:r>
        <w:t xml:space="preserve"> </w:t>
      </w:r>
      <w:r>
        <w:t xml:space="preserve">Practice</w:t>
      </w:r>
      <w:r>
        <w:t xml:space="preserve"> </w:t>
      </w:r>
      <w:r>
        <w:t xml:space="preserve">Performance</w:t>
      </w:r>
      <w:r>
        <w:t xml:space="preserve"> </w:t>
      </w:r>
      <w:r>
        <w:t xml:space="preserve">-</w:t>
      </w:r>
      <w:r>
        <w:t xml:space="preserve"> </w:t>
      </w:r>
      <w:r>
        <w:t xml:space="preserve">Abuja,</w:t>
      </w:r>
      <w:r>
        <w:t xml:space="preserve"> </w:t>
      </w:r>
      <w:r>
        <w:t xml:space="preserve">Nigeria</w:t>
      </w:r>
    </w:p>
    <w:bookmarkStart w:id="29" w:name="orthodontic-practice-sales-report"/>
    <w:p>
      <w:pPr>
        <w:pStyle w:val="Heading1"/>
      </w:pPr>
      <w:r>
        <w:t xml:space="preserve">ORTHODONTIC PRACTICE SALES REPORT</w:t>
      </w:r>
    </w:p>
    <w:bookmarkStart w:id="28" w:name="X93b47673e73f564996ebf021000fb303283dab6"/>
    <w:p>
      <w:pPr>
        <w:pStyle w:val="Heading2"/>
      </w:pPr>
      <w:r>
        <w:t xml:space="preserve">Q3 2023 PERFORMANCE ANALYSIS FOR ABUJA, NIGERIA MARKET</w:t>
      </w:r>
    </w:p>
    <w:p>
      <w:pPr>
        <w:pStyle w:val="FirstParagraph"/>
      </w:pPr>
      <w:r>
        <w:t xml:space="preserve">Prepared for Abuja Dental Association | Date: October 26, 2023</w:t>
      </w:r>
    </w:p>
    <w:bookmarkStart w:id="20" w:name="executive-summary"/>
    <w:p>
      <w:pPr>
        <w:pStyle w:val="Heading3"/>
      </w:pPr>
      <w:r>
        <w:t xml:space="preserve">Executive Summary</w:t>
      </w:r>
    </w:p>
    <w:p>
      <w:pPr>
        <w:pStyle w:val="FirstParagraph"/>
      </w:pPr>
      <w:r>
        <w:t xml:space="preserve">This comprehensive Sales Report details the performance of our premier orthodontic practice in Abuja, Nigeria during the third quarter of 2023. As a leading provider of orthodontic solutions in the Nigerian capital, we've observed significant growth driven by increasing awareness of dental aesthetics and functional benefits among Abuja's middle and upper-income demographics. The report confirms that our strategic focus on high-quality care combined with culturally sensitive patient engagement has positioned us as a market leader in Nigeria Abuja's competitive dental landscape.</w:t>
      </w:r>
    </w:p>
    <w:bookmarkEnd w:id="20"/>
    <w:bookmarkStart w:id="21" w:name="Xd461d8fbc80643da8b319d721e16aad8f9d60aa"/>
    <w:p>
      <w:pPr>
        <w:pStyle w:val="Heading3"/>
      </w:pPr>
      <w:r>
        <w:t xml:space="preserve">Market Context: Orthodontics in Abuja, Nigeria</w:t>
      </w:r>
    </w:p>
    <w:p>
      <w:pPr>
        <w:pStyle w:val="FirstParagraph"/>
      </w:pPr>
      <w:r>
        <w:t xml:space="preserve">The orthodontic market in Nigeria Abuja has experienced 28% year-over-year growth since 2021, driven by rising disposable incomes and shifting social perceptions around dental aesthetics. Unlike many African markets where orthodontics was historically viewed as a luxury, Abuja's cosmopolitan population—including government officials, corporate executives, and expatriate communities—now prioritizes oral health as integral to professional success. Our research indicates that 67% of new patients in Nigeria Abuja seek orthodontic care for aesthetic reasons rather than purely functional needs.</w:t>
      </w:r>
    </w:p>
    <w:bookmarkEnd w:id="21"/>
    <w:bookmarkStart w:id="22" w:name="sales-performance-overview"/>
    <w:p>
      <w:pPr>
        <w:pStyle w:val="Heading3"/>
      </w:pPr>
      <w:r>
        <w:t xml:space="preserve">Sales Performance Overview</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Change</w:t>
            </w:r>
          </w:p>
        </w:tc>
      </w:tr>
      <w:tr>
        <w:tc>
          <w:tcPr/>
          <w:p>
            <w:pPr>
              <w:pStyle w:val="Compact"/>
              <w:jc w:val="left"/>
            </w:pPr>
            <w:r>
              <w:t xml:space="preserve">Total New Patients</w:t>
            </w:r>
          </w:p>
        </w:tc>
        <w:tc>
          <w:tcPr/>
          <w:p>
            <w:pPr>
              <w:pStyle w:val="Compact"/>
              <w:jc w:val="left"/>
            </w:pPr>
            <w:r>
              <w:t xml:space="preserve">247</w:t>
            </w:r>
          </w:p>
        </w:tc>
        <w:tc>
          <w:tcPr/>
          <w:p>
            <w:pPr>
              <w:pStyle w:val="Compact"/>
              <w:jc w:val="left"/>
            </w:pPr>
            <w:r>
              <w:t xml:space="preserve">189</w:t>
            </w:r>
          </w:p>
        </w:tc>
        <w:tc>
          <w:tcPr/>
          <w:p>
            <w:pPr>
              <w:pStyle w:val="Compact"/>
              <w:jc w:val="left"/>
            </w:pPr>
            <w:r>
              <w:t xml:space="preserve">+30.7%</w:t>
            </w:r>
          </w:p>
        </w:tc>
      </w:tr>
      <w:tr>
        <w:tc>
          <w:tcPr/>
          <w:p>
            <w:pPr>
              <w:pStyle w:val="Compact"/>
              <w:jc w:val="left"/>
            </w:pPr>
            <w:r>
              <w:t xml:space="preserve">Total Procedures Completed</w:t>
            </w:r>
          </w:p>
        </w:tc>
        <w:tc>
          <w:tcPr/>
          <w:p>
            <w:pPr>
              <w:pStyle w:val="Compact"/>
              <w:jc w:val="left"/>
            </w:pPr>
            <w:r>
              <w:t xml:space="preserve">382</w:t>
            </w:r>
          </w:p>
        </w:tc>
        <w:tc>
          <w:tcPr/>
          <w:p>
            <w:pPr>
              <w:pStyle w:val="Compact"/>
              <w:jc w:val="left"/>
            </w:pPr>
            <w:r>
              <w:t xml:space="preserve">295</w:t>
            </w:r>
          </w:p>
        </w:tc>
        <w:tc>
          <w:tcPr/>
          <w:p>
            <w:pPr>
              <w:pStyle w:val="Compact"/>
              <w:jc w:val="left"/>
            </w:pPr>
            <w:r>
              <w:t xml:space="preserve">+29.5%</w:t>
            </w:r>
          </w:p>
        </w:tc>
      </w:tr>
      <w:tr>
        <w:tc>
          <w:tcPr/>
          <w:p>
            <w:pPr>
              <w:pStyle w:val="Compact"/>
              <w:jc w:val="left"/>
            </w:pPr>
            <w:r>
              <w:t xml:space="preserve">Average Revenue Per Patient</w:t>
            </w:r>
          </w:p>
        </w:tc>
        <w:tc>
          <w:tcPr/>
          <w:p>
            <w:pPr>
              <w:pStyle w:val="Compact"/>
              <w:jc w:val="left"/>
            </w:pPr>
            <w:r>
              <w:t xml:space="preserve">₦87,500</w:t>
            </w:r>
          </w:p>
        </w:tc>
        <w:tc>
          <w:tcPr/>
          <w:p>
            <w:pPr>
              <w:pStyle w:val="Compact"/>
              <w:jc w:val="left"/>
            </w:pPr>
            <w:r>
              <w:t xml:space="preserve">₦79,200</w:t>
            </w:r>
          </w:p>
        </w:tc>
        <w:tc>
          <w:tcPr/>
          <w:p>
            <w:pPr>
              <w:pStyle w:val="Compact"/>
              <w:jc w:val="left"/>
            </w:pPr>
            <w:r>
              <w:t xml:space="preserve">+10.5%</w:t>
            </w:r>
          </w:p>
        </w:tc>
      </w:tr>
      <w:tr>
        <w:tc>
          <w:tcPr/>
          <w:p>
            <w:pPr>
              <w:pStyle w:val="Compact"/>
              <w:jc w:val="left"/>
            </w:pPr>
            <w:r>
              <w:t xml:space="preserve">Total Revenue (Q3)</w:t>
            </w:r>
          </w:p>
        </w:tc>
        <w:tc>
          <w:tcPr/>
          <w:p>
            <w:pPr>
              <w:pStyle w:val="Compact"/>
              <w:jc w:val="left"/>
            </w:pPr>
            <w:r>
              <w:t xml:space="preserve">₦33.5 million</w:t>
            </w:r>
          </w:p>
        </w:tc>
        <w:tc>
          <w:tcPr/>
          <w:p>
            <w:pPr>
              <w:pStyle w:val="Compact"/>
              <w:jc w:val="left"/>
            </w:pPr>
            <w:r>
              <w:t xml:space="preserve">₦23.4 million</w:t>
            </w:r>
          </w:p>
        </w:tc>
        <w:tc>
          <w:tcPr/>
          <w:p>
            <w:pPr>
              <w:pStyle w:val="Compact"/>
              <w:jc w:val="left"/>
            </w:pPr>
            <w:r>
              <w:t xml:space="preserve">+43.2%</w:t>
            </w:r>
          </w:p>
        </w:tc>
      </w:tr>
    </w:tbl>
    <w:bookmarkEnd w:id="22"/>
    <w:bookmarkStart w:id="23" w:name="key-growth-drivers-in-nigeria-abuja"/>
    <w:p>
      <w:pPr>
        <w:pStyle w:val="Heading3"/>
      </w:pPr>
      <w:r>
        <w:t xml:space="preserve">Key Growth Drivers in Nigeria Abuja</w:t>
      </w:r>
    </w:p>
    <w:p>
      <w:pPr>
        <w:pStyle w:val="FirstParagraph"/>
      </w:pPr>
      <w:r>
        <w:t xml:space="preserve">Our orthodontic practice in Abuja has capitalized on three critical market dynamics:</w:t>
      </w:r>
    </w:p>
    <w:p>
      <w:pPr>
        <w:numPr>
          <w:ilvl w:val="0"/>
          <w:numId w:val="1001"/>
        </w:numPr>
        <w:pStyle w:val="Compact"/>
      </w:pPr>
      <w:r>
        <w:rPr>
          <w:bCs/>
          <w:b/>
        </w:rPr>
        <w:t xml:space="preserve">Cultural Shift in Dental Perception</w:t>
      </w:r>
      <w:r>
        <w:t xml:space="preserve">: In Nigeria Abuja, where social status is visibly displayed through appearance, orthodontic treatment is increasingly seen as a professional necessity. We've observed a 40% rise in referrals from corporate clients seeking "confidence-boosting" treatments for their staff.</w:t>
      </w:r>
    </w:p>
    <w:p>
      <w:pPr>
        <w:numPr>
          <w:ilvl w:val="0"/>
          <w:numId w:val="1001"/>
        </w:numPr>
        <w:pStyle w:val="Compact"/>
      </w:pPr>
      <w:r>
        <w:rPr>
          <w:bCs/>
          <w:b/>
        </w:rPr>
        <w:t xml:space="preserve">Strategic Partnership with Abuja Healthcare Institutions</w:t>
      </w:r>
      <w:r>
        <w:t xml:space="preserve">: Collaborations with leading hospitals like the National Hospital and Abuja University Teaching Hospital have generated 35% of new patient leads through physician referrals.</w:t>
      </w:r>
    </w:p>
    <w:p>
      <w:pPr>
        <w:numPr>
          <w:ilvl w:val="0"/>
          <w:numId w:val="1001"/>
        </w:numPr>
        <w:pStyle w:val="Compact"/>
      </w:pPr>
      <w:r>
        <w:rPr>
          <w:bCs/>
          <w:b/>
        </w:rPr>
        <w:t xml:space="preserve">Localized Service Adaptation</w:t>
      </w:r>
      <w:r>
        <w:t xml:space="preserve">: Our orthodontist team developed culturally appropriate treatment plans addressing common Nigerian dental concerns including malocclusion patterns linked to traditional chewing habits, while maintaining international clinical standards.</w:t>
      </w:r>
    </w:p>
    <w:bookmarkEnd w:id="23"/>
    <w:bookmarkStart w:id="24" w:name="patient-demographic-analysis"/>
    <w:p>
      <w:pPr>
        <w:pStyle w:val="Heading3"/>
      </w:pPr>
      <w:r>
        <w:t xml:space="preserve">Patient Demographic Analysis</w:t>
      </w:r>
    </w:p>
    <w:p>
      <w:pPr>
        <w:pStyle w:val="FirstParagraph"/>
      </w:pPr>
      <w:r>
        <w:t xml:space="preserve">Our Q3 data reveals a balanced patient profile critical for sustainable growth in Nigeria Abuja:</w:t>
      </w:r>
    </w:p>
    <w:p>
      <w:pPr>
        <w:numPr>
          <w:ilvl w:val="0"/>
          <w:numId w:val="1002"/>
        </w:numPr>
        <w:pStyle w:val="Compact"/>
      </w:pPr>
      <w:r>
        <w:rPr>
          <w:bCs/>
          <w:b/>
        </w:rPr>
        <w:t xml:space="preserve">Age Distribution</w:t>
      </w:r>
      <w:r>
        <w:t xml:space="preserve">: 48% aged 16-25 (adolescent orthodontics), 37% aged 26-40 (aesthetic concerns), and 15% aged 40+ (functional restoration)</w:t>
      </w:r>
    </w:p>
    <w:p>
      <w:pPr>
        <w:numPr>
          <w:ilvl w:val="0"/>
          <w:numId w:val="1002"/>
        </w:numPr>
        <w:pStyle w:val="Compact"/>
      </w:pPr>
      <w:r>
        <w:rPr>
          <w:bCs/>
          <w:b/>
        </w:rPr>
        <w:t xml:space="preserve">Geographic Origin</w:t>
      </w:r>
      <w:r>
        <w:t xml:space="preserve">: Primarily Abuja residents (78%), with significant inflow from neighboring states including Kaduna, Kano, and Jos (22%) seeking specialized care unavailable in their home cities)</w:t>
      </w:r>
    </w:p>
    <w:p>
      <w:pPr>
        <w:numPr>
          <w:ilvl w:val="0"/>
          <w:numId w:val="1002"/>
        </w:numPr>
        <w:pStyle w:val="Compact"/>
      </w:pPr>
      <w:r>
        <w:rPr>
          <w:bCs/>
          <w:b/>
        </w:rPr>
        <w:t xml:space="preserve">Income Bracket</w:t>
      </w:r>
      <w:r>
        <w:t xml:space="preserve">: 65% fall within the ₦150,000+ monthly income bracket – a critical demographic for premium dental services in Nigeria Abuja</w:t>
      </w:r>
    </w:p>
    <w:bookmarkEnd w:id="24"/>
    <w:bookmarkStart w:id="25" w:name="challenges-in-the-nigerian-market"/>
    <w:p>
      <w:pPr>
        <w:pStyle w:val="Heading3"/>
      </w:pPr>
      <w:r>
        <w:t xml:space="preserve">Challenges in the Nigerian Market</w:t>
      </w:r>
    </w:p>
    <w:p>
      <w:pPr>
        <w:pStyle w:val="FirstParagraph"/>
      </w:pPr>
      <w:r>
        <w:t xml:space="preserve">Despite strong growth, our orthodontist practice faces market-specific hurdles:</w:t>
      </w:r>
    </w:p>
    <w:p>
      <w:pPr>
        <w:numPr>
          <w:ilvl w:val="0"/>
          <w:numId w:val="1003"/>
        </w:numPr>
        <w:pStyle w:val="Compact"/>
      </w:pPr>
      <w:r>
        <w:rPr>
          <w:bCs/>
          <w:b/>
        </w:rPr>
        <w:t xml:space="preserve">Payment Accessibility</w:t>
      </w:r>
      <w:r>
        <w:t xml:space="preserve">: Only 38% of patients opt for full payment upfront due to economic fluctuations. We've implemented flexible installment plans covering up to 12 months with minimal interest, increasing our conversion rate by 22%.</w:t>
      </w:r>
    </w:p>
    <w:p>
      <w:pPr>
        <w:numPr>
          <w:ilvl w:val="0"/>
          <w:numId w:val="1003"/>
        </w:numPr>
        <w:pStyle w:val="Compact"/>
      </w:pPr>
      <w:r>
        <w:rPr>
          <w:bCs/>
          <w:b/>
        </w:rPr>
        <w:t xml:space="preserve">Demand-Supply Gap</w:t>
      </w:r>
      <w:r>
        <w:t xml:space="preserve">: Abuja has just 3 certified orthodontists per million residents (compared to WHO's recommended 1:500,000), creating consistent patient waitlists we're addressing through strategic expansion of our clinical team.</w:t>
      </w:r>
    </w:p>
    <w:p>
      <w:pPr>
        <w:numPr>
          <w:ilvl w:val="0"/>
          <w:numId w:val="1003"/>
        </w:numPr>
        <w:pStyle w:val="Compact"/>
      </w:pPr>
      <w:r>
        <w:rPr>
          <w:bCs/>
          <w:b/>
        </w:rPr>
        <w:t xml:space="preserve">Competitive Pricing Pressure</w:t>
      </w:r>
      <w:r>
        <w:t xml:space="preserve">: Unlicensed practitioners offering low-cost alternatives remain a concern. Our solution includes transparent pricing and free initial consultations to demonstrate value beyond cost.</w:t>
      </w:r>
    </w:p>
    <w:bookmarkEnd w:id="25"/>
    <w:bookmarkStart w:id="26" w:name="strategic-recommendations-for-growth"/>
    <w:p>
      <w:pPr>
        <w:pStyle w:val="Heading3"/>
      </w:pPr>
      <w:r>
        <w:t xml:space="preserve">Strategic Recommendations for Growth</w:t>
      </w:r>
    </w:p>
    <w:p>
      <w:pPr>
        <w:pStyle w:val="FirstParagraph"/>
      </w:pPr>
      <w:r>
        <w:t xml:space="preserve">To maintain our leadership position in Nigeria Abuja's orthodontic market, we propose:</w:t>
      </w:r>
    </w:p>
    <w:p>
      <w:pPr>
        <w:numPr>
          <w:ilvl w:val="0"/>
          <w:numId w:val="1004"/>
        </w:numPr>
        <w:pStyle w:val="Compact"/>
      </w:pPr>
      <w:r>
        <w:rPr>
          <w:bCs/>
          <w:b/>
        </w:rPr>
        <w:t xml:space="preserve">Community Dental Education Program</w:t>
      </w:r>
      <w:r>
        <w:t xml:space="preserve">: Launch free monthly workshops at Abuja community centers to demystify orthodontics, targeting parents of school-aged children (addressing 63% of our new patients' primary referral source)</w:t>
      </w:r>
    </w:p>
    <w:p>
      <w:pPr>
        <w:numPr>
          <w:ilvl w:val="0"/>
          <w:numId w:val="1004"/>
        </w:numPr>
        <w:pStyle w:val="Compact"/>
      </w:pPr>
      <w:r>
        <w:rPr>
          <w:bCs/>
          <w:b/>
        </w:rPr>
        <w:t xml:space="preserve">Digital Marketing Expansion</w:t>
      </w:r>
      <w:r>
        <w:t xml:space="preserve">: Develop localized social media campaigns featuring Nigerian success stories with influencer partnerships (current Instagram engagement is 18% above industry average in Nigeria Abuja)</w:t>
      </w:r>
    </w:p>
    <w:p>
      <w:pPr>
        <w:numPr>
          <w:ilvl w:val="0"/>
          <w:numId w:val="1004"/>
        </w:numPr>
        <w:pStyle w:val="Compact"/>
      </w:pPr>
      <w:r>
        <w:rPr>
          <w:bCs/>
          <w:b/>
        </w:rPr>
        <w:t xml:space="preserve">Partnership with Abuja Schools</w:t>
      </w:r>
      <w:r>
        <w:t xml:space="preserve">: Collaborate with elite schools for preventive dental programs to capture adolescent market before they become adults</w:t>
      </w:r>
    </w:p>
    <w:p>
      <w:pPr>
        <w:numPr>
          <w:ilvl w:val="0"/>
          <w:numId w:val="1004"/>
        </w:numPr>
        <w:pStyle w:val="Compact"/>
      </w:pPr>
      <w:r>
        <w:rPr>
          <w:bCs/>
          <w:b/>
        </w:rPr>
        <w:t xml:space="preserve">Specialized Treatment Packages</w:t>
      </w:r>
      <w:r>
        <w:t xml:space="preserve">: Introduce "Abuja Professional Package" for business executives including priority scheduling and discreet treatment options (targeting 25% revenue growth in Q1 2024)</w:t>
      </w:r>
    </w:p>
    <w:bookmarkEnd w:id="26"/>
    <w:bookmarkStart w:id="27" w:name="conclusion"/>
    <w:p>
      <w:pPr>
        <w:pStyle w:val="Heading3"/>
      </w:pPr>
      <w:r>
        <w:t xml:space="preserve">Conclusion</w:t>
      </w:r>
    </w:p>
    <w:p>
      <w:pPr>
        <w:pStyle w:val="FirstParagraph"/>
      </w:pPr>
      <w:r>
        <w:t xml:space="preserve">This Sales Report confirms that our orthodontic practice continues to set the benchmark for quality care in Nigeria Abuja. The 43.2% revenue growth in Q3 demonstrates not only market demand but also the effectiveness of our culturally attuned approach to patient engagement. As we navigate Nigeria's evolving dental healthcare landscape, our commitment to combining world-class orthodontic expertise with deep understanding of Abuja's unique social dynamics positions us for sustained leadership. With strategic investments in community education and digital outreach, we project 35% annual growth for the orthodontic practice in Nigeria Abuja over the next two years. This success story underscores that when healthcare services align with cultural context and economic realities, exceptional patient outcomes and business growth become mutually achievable objectives.</w:t>
      </w:r>
    </w:p>
    <w:p>
      <w:pPr>
        <w:pStyle w:val="BodyText"/>
      </w:pPr>
      <w:r>
        <w:t xml:space="preserve">"In Abuja, where appearance speaks volumes about status, orthodontic excellence is no longer a luxury—it's the standard for professional success. Our practice is proud to lead this transformation." - Dr. Adebayo Ogunlade, Lead Orthodontist</w:t>
      </w:r>
    </w:p>
    <w:p>
      <w:pPr>
        <w:pStyle w:val="BodyText"/>
      </w:pPr>
      <w:r>
        <w:t xml:space="preserve">© 2023 Elite Orthodontics Abuja | Serving Nigeria's Capital with Excellence Since 2015</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Orthodontic Practice Performance - Abuja, Nigeria</dc:title>
  <dc:creator/>
  <dc:language>en</dc:language>
  <cp:keywords/>
  <dcterms:created xsi:type="dcterms:W3CDTF">2026-07-23T22:25:16Z</dcterms:created>
  <dcterms:modified xsi:type="dcterms:W3CDTF">2026-07-23T22:25:16Z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