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Manila</w:t>
      </w:r>
      <w:r>
        <w:t xml:space="preserve"> </w:t>
      </w:r>
      <w:r>
        <w:t xml:space="preserve">Philippines</w:t>
      </w:r>
    </w:p>
    <w:bookmarkStart w:id="28" w:name="Xa35e759f2ee8a65fba0e1041ebbd1d67f61e194"/>
    <w:p>
      <w:pPr>
        <w:pStyle w:val="Heading1"/>
      </w:pPr>
      <w:r>
        <w:t xml:space="preserve">ORTHODONTIC SALES PERFORMANCE REPORT</w:t>
      </w:r>
      <w:r>
        <w:br/>
      </w:r>
      <w:r>
        <w:t xml:space="preserve">Q3 2023 - MANILA, PHILIPPINES</w:t>
      </w:r>
    </w:p>
    <w:p>
      <w:pPr>
        <w:pStyle w:val="FirstParagraph"/>
      </w:pPr>
      <w:r>
        <w:t xml:space="preserve">Prepared for Manila Orthodontic Network Leadership Team | October 15, 2023</w:t>
      </w:r>
    </w:p>
    <w:bookmarkStart w:id="20" w:name="executive-summary"/>
    <w:p>
      <w:pPr>
        <w:pStyle w:val="Heading2"/>
      </w:pPr>
      <w:r>
        <w:t xml:space="preserve">Executive Summary</w:t>
      </w:r>
    </w:p>
    <w:p>
      <w:pPr>
        <w:pStyle w:val="FirstParagraph"/>
      </w:pPr>
      <w:r>
        <w:t xml:space="preserve">This Sales Report details the comprehensive performance metrics of orthodontic services across all clinics under Manila Orthodontic Network (MON) in the Philippines. The third quarter of 2023 demonstrated remarkable growth in patient acquisition and treatment case volumes, positioning our network as a market leader in orthodontic care within Manila and its surrounding regions. Despite economic fluctuations impacting discretionary healthcare spending, our strategic focus on premium clear aligner solutions and family-oriented service packages drove a 18.7% year-over-year increase in total revenue. This document serves as the official Sales Report for MON's quarterly review, highlighting critical insights for our orthodontist team and business development strategy in the Philippines Manila market.</w:t>
      </w:r>
    </w:p>
    <w:bookmarkEnd w:id="20"/>
    <w:bookmarkStart w:id="21" w:name="X3b3b284f1c6af4f392caef80bb9a9dc10f05922"/>
    <w:p>
      <w:pPr>
        <w:pStyle w:val="Heading2"/>
      </w:pPr>
      <w:r>
        <w:t xml:space="preserve">Market Context: Orthodontic Landscape in Manila, Philippines</w:t>
      </w:r>
    </w:p>
    <w:p>
      <w:pPr>
        <w:pStyle w:val="FirstParagraph"/>
      </w:pPr>
      <w:r>
        <w:t xml:space="preserve">The orthodontic sector in Manila has experienced significant transformation over the past three years. As the capital city of the Philippines, Manila represents a dense population center with rising middle-class affluence and heightened awareness about aesthetic dental care. According to Philippine Dental Association (PDA) 2023 data, orthodontic treatment demand in Metro Manila has grown at 12% annually—significantly outpacing national healthcare spending averages. This trend is driven by two key factors: (1) increasing parental investment in children's oral health as household incomes rise, and (2) growing professional recognition of orthodontics as a critical component of overall wellness, not merely cosmetic dentistry.</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center"/>
            </w:pPr>
            <w:r>
              <w:t xml:space="preserve">Q3 2023</w:t>
            </w:r>
          </w:p>
        </w:tc>
        <w:tc>
          <w:tcPr/>
          <w:p>
            <w:pPr>
              <w:pStyle w:val="Compact"/>
              <w:jc w:val="center"/>
            </w:pPr>
            <w:r>
              <w:t xml:space="preserve">Q3 2022</w:t>
            </w:r>
          </w:p>
        </w:tc>
        <w:tc>
          <w:tcPr/>
          <w:p>
            <w:pPr>
              <w:pStyle w:val="Compact"/>
              <w:jc w:val="center"/>
            </w:pPr>
            <w:r>
              <w:t xml:space="preserve">YoY Change</w:t>
            </w:r>
          </w:p>
        </w:tc>
      </w:tr>
      <w:tr>
        <w:tc>
          <w:tcPr/>
          <w:p>
            <w:pPr>
              <w:pStyle w:val="Compact"/>
              <w:jc w:val="left"/>
            </w:pPr>
            <w:r>
              <w:t xml:space="preserve">Total New Patient Cases</w:t>
            </w:r>
          </w:p>
        </w:tc>
        <w:tc>
          <w:tcPr/>
          <w:p>
            <w:pPr>
              <w:pStyle w:val="Compact"/>
              <w:jc w:val="center"/>
            </w:pPr>
            <w:r>
              <w:t xml:space="preserve">428</w:t>
            </w:r>
          </w:p>
        </w:tc>
        <w:tc>
          <w:tcPr/>
          <w:p>
            <w:pPr>
              <w:pStyle w:val="Compact"/>
              <w:jc w:val="center"/>
            </w:pPr>
            <w:r>
              <w:t xml:space="preserve">365</w:t>
            </w:r>
          </w:p>
        </w:tc>
        <w:tc>
          <w:tcPr/>
          <w:p>
            <w:pPr>
              <w:pStyle w:val="Compact"/>
              <w:jc w:val="center"/>
            </w:pPr>
            <w:r>
              <w:t xml:space="preserve">+17.3%</w:t>
            </w:r>
          </w:p>
        </w:tc>
      </w:tr>
      <w:tr>
        <w:tc>
          <w:tcPr/>
          <w:p>
            <w:pPr>
              <w:pStyle w:val="Compact"/>
              <w:jc w:val="left"/>
            </w:pPr>
            <w:r>
              <w:t xml:space="preserve">Average Revenue per Case</w:t>
            </w:r>
          </w:p>
        </w:tc>
        <w:tc>
          <w:tcPr/>
          <w:p>
            <w:pPr>
              <w:pStyle w:val="Compact"/>
              <w:jc w:val="center"/>
            </w:pPr>
            <w:r>
              <w:t xml:space="preserve">₱98,525</w:t>
            </w:r>
          </w:p>
        </w:tc>
        <w:tc>
          <w:tcPr/>
          <w:p>
            <w:pPr>
              <w:pStyle w:val="Compact"/>
              <w:jc w:val="center"/>
            </w:pPr>
            <w:r>
              <w:t xml:space="preserve">₱93,240</w:t>
            </w:r>
          </w:p>
        </w:tc>
        <w:tc>
          <w:tcPr/>
          <w:p>
            <w:pPr>
              <w:pStyle w:val="Compact"/>
              <w:jc w:val="center"/>
            </w:pPr>
            <w:r>
              <w:t xml:space="preserve">+5.7%</w:t>
            </w:r>
          </w:p>
        </w:tc>
      </w:tr>
      <w:tr>
        <w:tc>
          <w:tcPr/>
          <w:p>
            <w:pPr>
              <w:pStyle w:val="Compact"/>
              <w:jc w:val="left"/>
            </w:pPr>
            <w:r>
              <w:t xml:space="preserve">Total Revenue</w:t>
            </w:r>
          </w:p>
        </w:tc>
        <w:tc>
          <w:tcPr/>
          <w:p>
            <w:pPr>
              <w:pStyle w:val="Compact"/>
              <w:jc w:val="center"/>
            </w:pPr>
            <w:r>
              <w:t xml:space="preserve">₱42,368,755</w:t>
            </w:r>
          </w:p>
        </w:tc>
        <w:tc>
          <w:tcPr/>
          <w:p>
            <w:pPr>
              <w:pStyle w:val="Compact"/>
              <w:jc w:val="center"/>
            </w:pPr>
            <w:r>
              <w:t xml:space="preserve">₱34,082,600</w:t>
            </w:r>
          </w:p>
        </w:tc>
        <w:tc>
          <w:tcPr/>
          <w:p>
            <w:pPr>
              <w:pStyle w:val="Compact"/>
              <w:jc w:val="center"/>
            </w:pPr>
            <w:r>
              <w:t xml:space="preserve">+24.3%</w:t>
            </w:r>
          </w:p>
        </w:tc>
      </w:tr>
      <w:tr>
        <w:tc>
          <w:tcPr/>
          <w:p>
            <w:pPr>
              <w:pStyle w:val="Compact"/>
              <w:jc w:val="left"/>
            </w:pPr>
            <w:r>
              <w:t xml:space="preserve">Clear Aligner Adoption Rate</w:t>
            </w:r>
          </w:p>
        </w:tc>
        <w:tc>
          <w:tcPr/>
          <w:p>
            <w:pPr>
              <w:pStyle w:val="Compact"/>
              <w:jc w:val="center"/>
            </w:pPr>
            <w:r>
              <w:t xml:space="preserve">68%</w:t>
            </w:r>
          </w:p>
        </w:tc>
        <w:tc>
          <w:tcPr/>
          <w:p>
            <w:pPr>
              <w:pStyle w:val="Compact"/>
              <w:jc w:val="center"/>
            </w:pPr>
            <w:r>
              <w:t xml:space="preserve">52%</w:t>
            </w:r>
          </w:p>
        </w:tc>
        <w:tc>
          <w:tcPr/>
          <w:p>
            <w:pPr>
              <w:pStyle w:val="Compact"/>
              <w:jc w:val="center"/>
            </w:pPr>
            <w:r>
              <w:t xml:space="preserve">+16 pts</w:t>
            </w:r>
          </w:p>
        </w:tc>
      </w:tr>
    </w:tbl>
    <w:bookmarkEnd w:id="22"/>
    <w:bookmarkStart w:id="23" w:name="service-line-breakdown"/>
    <w:p>
      <w:pPr>
        <w:pStyle w:val="Heading2"/>
      </w:pPr>
      <w:r>
        <w:t xml:space="preserve">Service Line Breakdown</w:t>
      </w:r>
    </w:p>
    <w:p>
      <w:pPr>
        <w:pStyle w:val="FirstParagraph"/>
      </w:pPr>
      <w:r>
        <w:t xml:space="preserve">Our orthodontist team's strategic focus on premium treatment options directly contributed to superior financial performance. The clear aligner segment (primarily Invisalign and local alternatives) drove 68% of all new cases in Manila—up from 52% in the previous year. This represents a fundamental shift in patient preference within Philippines Manila, where aesthetic considerations now outweigh traditional metal braces for 70% of adolescent patients. Our clinics' successful marketing campaigns emphasizing "discreet orthodontics for students and professionals" resonated strongly with the urban population.</w:t>
      </w:r>
    </w:p>
    <w:p>
      <w:pPr>
        <w:pStyle w:val="BodyText"/>
      </w:pPr>
      <w:r>
        <w:t xml:space="preserve">Traditional braces remain viable (32% market share) but primarily serve younger pediatric patients and budget-conscious families. Notably, our integrated family package—offering discounted rates for siblings' treatments—generated 19% of all new cases, demonstrating the power of relationship-based sales in Philippine healthcare culture. Each orthodontist implemented personalized follow-up protocols that increased patient retention by 22%, directly impacting our lifetime value metrics.</w:t>
      </w:r>
    </w:p>
    <w:bookmarkEnd w:id="23"/>
    <w:bookmarkStart w:id="24" w:name="X0cef4ce281a56f7c2024cf06ee914dfdc3269f5"/>
    <w:p>
      <w:pPr>
        <w:pStyle w:val="Heading2"/>
      </w:pPr>
      <w:r>
        <w:t xml:space="preserve">Key Market Insights for Manila Orthodontic Practice</w:t>
      </w:r>
    </w:p>
    <w:p>
      <w:pPr>
        <w:pStyle w:val="FirstParagraph"/>
      </w:pPr>
      <w:r>
        <w:t xml:space="preserve">Our analysis reveals three critical factors influencing sales performance in Philippines Manila:</w:t>
      </w:r>
    </w:p>
    <w:p>
      <w:pPr>
        <w:numPr>
          <w:ilvl w:val="0"/>
          <w:numId w:val="1001"/>
        </w:numPr>
        <w:pStyle w:val="Compact"/>
      </w:pPr>
      <w:r>
        <w:rPr>
          <w:bCs/>
          <w:b/>
        </w:rPr>
        <w:t xml:space="preserve">Cultural Shift Toward Aesthetic Care:</w:t>
      </w:r>
      <w:r>
        <w:t xml:space="preserve"> </w:t>
      </w:r>
      <w:r>
        <w:t xml:space="preserve">In Manila's professional circles, orthodontic treatment is increasingly seen as a status symbol. Patients actively seek clinics with advanced technology and private consultation rooms—elements we've prioritized in all new MON locations.</w:t>
      </w:r>
    </w:p>
    <w:p>
      <w:pPr>
        <w:numPr>
          <w:ilvl w:val="0"/>
          <w:numId w:val="1001"/>
        </w:numPr>
        <w:pStyle w:val="Compact"/>
      </w:pPr>
      <w:r>
        <w:rPr>
          <w:bCs/>
          <w:b/>
        </w:rPr>
        <w:t xml:space="preserve">Insurance Evolution:</w:t>
      </w:r>
      <w:r>
        <w:t xml:space="preserve"> </w:t>
      </w:r>
      <w:r>
        <w:t xml:space="preserve">While dental insurance penetration remains low (only 15% of Manila households), our strategic partnerships with major employers (including SM Group and Ayala Corporation) have created a new revenue stream through corporate wellness programs. This accounted for 8.3% of Q3 cases.</w:t>
      </w:r>
    </w:p>
    <w:p>
      <w:pPr>
        <w:numPr>
          <w:ilvl w:val="0"/>
          <w:numId w:val="1001"/>
        </w:numPr>
        <w:pStyle w:val="Compact"/>
      </w:pPr>
      <w:r>
        <w:rPr>
          <w:bCs/>
          <w:b/>
        </w:rPr>
        <w:t xml:space="preserve">Competition Dynamics:</w:t>
      </w:r>
      <w:r>
        <w:t xml:space="preserve"> </w:t>
      </w:r>
      <w:r>
        <w:t xml:space="preserve">Local competitors primarily focus on price wars, while MON differentiates through our "orthodontist-led" model where each doctor personally manages all patient relationships—not just clinical care but financial planning and follow-up support.</w:t>
      </w:r>
    </w:p>
    <w:bookmarkEnd w:id="24"/>
    <w:bookmarkStart w:id="25" w:name="challenges-and-strategic-imperatives"/>
    <w:p>
      <w:pPr>
        <w:pStyle w:val="Heading2"/>
      </w:pPr>
      <w:r>
        <w:t xml:space="preserve">Challenges and Strategic Imperatives</w:t>
      </w:r>
    </w:p>
    <w:p>
      <w:pPr>
        <w:pStyle w:val="FirstParagraph"/>
      </w:pPr>
      <w:r>
        <w:t xml:space="preserve">Despite strong growth, two challenges require immediate attention in our Sales Report:</w:t>
      </w:r>
    </w:p>
    <w:p>
      <w:pPr>
        <w:numPr>
          <w:ilvl w:val="0"/>
          <w:numId w:val="1002"/>
        </w:numPr>
        <w:pStyle w:val="Compact"/>
      </w:pPr>
      <w:r>
        <w:rPr>
          <w:bCs/>
          <w:b/>
        </w:rPr>
        <w:t xml:space="preserve">Urban Density Pressure:</w:t>
      </w:r>
      <w:r>
        <w:t xml:space="preserve"> </w:t>
      </w:r>
      <w:r>
        <w:t xml:space="preserve">Manila's high population density creates intense competition in prime locations (e.g., Makati, Bonifacio Global City). We're addressing this by expanding into emerging suburbs like Las Piñas and Parañaque where orthodontic services are underserved.</w:t>
      </w:r>
    </w:p>
    <w:p>
      <w:pPr>
        <w:numPr>
          <w:ilvl w:val="0"/>
          <w:numId w:val="1002"/>
        </w:numPr>
        <w:pStyle w:val="Compact"/>
      </w:pPr>
      <w:r>
        <w:rPr>
          <w:bCs/>
          <w:b/>
        </w:rPr>
        <w:t xml:space="preserve">Price Sensitivity:</w:t>
      </w:r>
      <w:r>
        <w:t xml:space="preserve"> </w:t>
      </w:r>
      <w:r>
        <w:t xml:space="preserve">While premium services drive revenue, we're developing tiered financing plans to capture price-sensitive patients without compromising our brand positioning. A new "pay-as-you-grow" installment plan launched in August is showing promising uptake.</w:t>
      </w:r>
    </w:p>
    <w:p>
      <w:pPr>
        <w:pStyle w:val="FirstParagraph"/>
      </w:pPr>
      <w:r>
        <w:t xml:space="preserve">Our orthodontist team has been instrumental in addressing these through enhanced patient education sessions and customized treatment plans that align with Filipino family financial realities.</w:t>
      </w:r>
    </w:p>
    <w:bookmarkEnd w:id="25"/>
    <w:bookmarkStart w:id="26" w:name="strategic-recommendations"/>
    <w:p>
      <w:pPr>
        <w:pStyle w:val="Heading2"/>
      </w:pPr>
      <w:r>
        <w:t xml:space="preserve">Strategic Recommendations</w:t>
      </w:r>
    </w:p>
    <w:p>
      <w:pPr>
        <w:pStyle w:val="FirstParagraph"/>
      </w:pPr>
      <w:r>
        <w:t xml:space="preserve">Based on this Sales Report, we recommend the following actions to maintain momentum in Manila Philippines:</w:t>
      </w:r>
    </w:p>
    <w:p>
      <w:pPr>
        <w:numPr>
          <w:ilvl w:val="0"/>
          <w:numId w:val="1003"/>
        </w:numPr>
        <w:pStyle w:val="Compact"/>
      </w:pPr>
      <w:r>
        <w:rPr>
          <w:bCs/>
          <w:b/>
        </w:rPr>
        <w:t xml:space="preserve">Accelerate Clear Aligner Training:</w:t>
      </w:r>
      <w:r>
        <w:t xml:space="preserve"> </w:t>
      </w:r>
      <w:r>
        <w:t xml:space="preserve">Invest in specialized certification for all orthodontist staff on emerging technologies (e.g., AI-driven treatment planning software) to capture the growing demand.</w:t>
      </w:r>
    </w:p>
    <w:p>
      <w:pPr>
        <w:numPr>
          <w:ilvl w:val="0"/>
          <w:numId w:val="1003"/>
        </w:numPr>
        <w:pStyle w:val="Compact"/>
      </w:pPr>
      <w:r>
        <w:rPr>
          <w:bCs/>
          <w:b/>
        </w:rPr>
        <w:t xml:space="preserve">Expand Corporate Partnerships:</w:t>
      </w:r>
      <w:r>
        <w:t xml:space="preserve"> </w:t>
      </w:r>
      <w:r>
        <w:t xml:space="preserve">Target additional Fortune 500 companies based in Manila for group health programs, targeting a 30% increase in corporate clients by Q1 2024.</w:t>
      </w:r>
    </w:p>
    <w:p>
      <w:pPr>
        <w:numPr>
          <w:ilvl w:val="0"/>
          <w:numId w:val="1003"/>
        </w:numPr>
        <w:pStyle w:val="Compact"/>
      </w:pPr>
      <w:r>
        <w:rPr>
          <w:bCs/>
          <w:b/>
        </w:rPr>
        <w:t xml:space="preserve">Leverage Social Proof:</w:t>
      </w:r>
      <w:r>
        <w:t xml:space="preserve"> </w:t>
      </w:r>
      <w:r>
        <w:t xml:space="preserve">Launch a patient testimonial campaign featuring Manila-based families (with consent) to build trust in the community—critical for referral-driven growth in Philippine healthcare.</w:t>
      </w:r>
    </w:p>
    <w:p>
      <w:pPr>
        <w:numPr>
          <w:ilvl w:val="0"/>
          <w:numId w:val="1003"/>
        </w:numPr>
        <w:pStyle w:val="Compact"/>
      </w:pPr>
      <w:r>
        <w:rPr>
          <w:bCs/>
          <w:b/>
        </w:rPr>
        <w:t xml:space="preserve">Community Health Initiatives:</w:t>
      </w:r>
      <w:r>
        <w:t xml:space="preserve"> </w:t>
      </w:r>
      <w:r>
        <w:t xml:space="preserve">Partner with public schools across Metro Manila for free orthodontic screenings, positioning MON as a socially responsible leader while generating qualified leads.</w:t>
      </w:r>
    </w:p>
    <w:bookmarkEnd w:id="26"/>
    <w:bookmarkStart w:id="27" w:name="conclusion"/>
    <w:p>
      <w:pPr>
        <w:pStyle w:val="Heading2"/>
      </w:pPr>
      <w:r>
        <w:t xml:space="preserve">Conclusion</w:t>
      </w:r>
    </w:p>
    <w:p>
      <w:pPr>
        <w:pStyle w:val="FirstParagraph"/>
      </w:pPr>
      <w:r>
        <w:t xml:space="preserve">This Sales Report confirms that Manila, Philippines represents one of the most promising markets for orthodontic growth in Southeast Asia. Our network's focus on high-value patient experiences, led by skilled orthodontist professionals who understand the cultural nuances of Filipino healthcare consumers, has delivered exceptional results. The 24.3% revenue growth in Q3 exemplifies how strategic alignment between clinical excellence and market intelligence creates sustainable business success.</w:t>
      </w:r>
    </w:p>
    <w:p>
      <w:pPr>
        <w:pStyle w:val="BodyText"/>
      </w:pPr>
      <w:r>
        <w:t xml:space="preserve">As we move into the holiday season—a critical period for family health spending—we will double down on our proven strategies: personalized orthodontist consultations, culturally resonant marketing, and community engagement. With 78% of our new patients citing "referral from friend" as their source (compared to 52% industry average), we're confident this momentum will continue to elevate MON's position as the premier orthodontic provider in Manila Philippines.</w:t>
      </w:r>
    </w:p>
    <w:p>
      <w:pPr>
        <w:pStyle w:val="BodyText"/>
      </w:pPr>
      <w:r>
        <w:t xml:space="preserve">Prepared by: Manila Orthodontic Network Sales Strategy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 Manila Philippines</dc:title>
  <dc:creator/>
  <dc:language>en</dc:language>
  <cp:keywords/>
  <dcterms:created xsi:type="dcterms:W3CDTF">2026-07-23T13:49:15Z</dcterms:created>
  <dcterms:modified xsi:type="dcterms:W3CDTF">2026-07-23T13:49:15Z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